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0"/>
        <w:jc w:val="both"/>
      </w:pPr>
      <w:r>
        <w:rPr>
          <w:rFonts w:hint="eastAsia" w:ascii="宋体" w:hAnsi="宋体" w:eastAsia="宋体"/>
          <w:color w:val="000000"/>
          <w:sz w:val="58"/>
        </w:rPr>
        <w:t>河北省发展和改革委员会河北省教育厅河北省人力资源和社会保障厅河北省市场监督管理局</w:t>
      </w:r>
    </w:p>
    <w:p>
      <w:pPr>
        <w:spacing w:line="1" w:lineRule="exact"/>
      </w:pPr>
      <w:r>
        <w:br w:type="column"/>
      </w:r>
    </w:p>
    <w:p>
      <w:pPr>
        <w:spacing w:before="860" w:line="1200" w:lineRule="exact"/>
        <w:ind w:firstLine="0"/>
        <w:jc w:val="both"/>
        <w:sectPr>
          <w:type w:val="continuous"/>
          <w:pgSz w:w="11820" w:h="16820"/>
          <w:pgMar w:top="1440" w:right="720" w:bottom="1440" w:left="1680" w:header="0" w:footer="1400" w:gutter="0"/>
          <w:cols w:equalWidth="0" w:num="2">
            <w:col w:w="6800" w:space="320"/>
            <w:col w:w="2280"/>
          </w:cols>
        </w:sectPr>
      </w:pPr>
      <w:r>
        <w:rPr>
          <w:rFonts w:hint="eastAsia" w:ascii="宋体" w:hAnsi="宋体" w:eastAsia="宋体"/>
          <w:color w:val="000000"/>
          <w:sz w:val="106"/>
        </w:rPr>
        <w:t>文件</w:t>
      </w:r>
    </w:p>
    <w:p>
      <w:pPr>
        <w:spacing w:before="1940" w:after="640" w:line="440" w:lineRule="exact"/>
        <w:jc w:val="center"/>
        <w:rPr>
          <w:rFonts w:hint="eastAsia" w:ascii="宋体" w:hAnsi="宋体" w:eastAsia="宋体"/>
          <w:color w:val="000000"/>
          <w:sz w:val="32"/>
        </w:rPr>
      </w:pPr>
    </w:p>
    <w:p>
      <w:pPr>
        <w:spacing w:before="1940" w:after="640" w:line="440" w:lineRule="exact"/>
        <w:jc w:val="center"/>
        <w:rPr>
          <w:sz w:val="24"/>
          <w:szCs w:val="28"/>
        </w:rPr>
      </w:pPr>
      <w:r>
        <w:rPr>
          <w:rFonts w:hint="eastAsia" w:ascii="宋体" w:hAnsi="宋体" w:eastAsia="宋体"/>
          <w:color w:val="000000"/>
          <w:sz w:val="40"/>
          <w:szCs w:val="28"/>
        </w:rPr>
        <w:t>冀发改公价规〔2022〕6号</w:t>
      </w:r>
    </w:p>
    <w:p>
      <w:pPr>
        <w:pStyle w:val="3"/>
        <w:bidi w:val="0"/>
        <w:jc w:val="center"/>
        <w:rPr>
          <w:sz w:val="40"/>
          <w:szCs w:val="28"/>
        </w:rPr>
      </w:pPr>
      <w:r>
        <w:rPr>
          <w:rFonts w:hint="eastAsia"/>
          <w:sz w:val="40"/>
          <w:szCs w:val="28"/>
        </w:rPr>
        <w:t>河北省发展和改革委员会等四部门关于印发</w:t>
      </w:r>
      <w:r>
        <w:rPr>
          <w:rFonts w:hint="eastAsia"/>
          <w:sz w:val="40"/>
          <w:szCs w:val="28"/>
          <w:lang w:val="en-US" w:eastAsia="zh-CN"/>
        </w:rPr>
        <w:t xml:space="preserve">                  </w:t>
      </w:r>
      <w:r>
        <w:rPr>
          <w:rFonts w:hint="eastAsia"/>
          <w:sz w:val="40"/>
          <w:szCs w:val="28"/>
        </w:rPr>
        <w:t>《河北省非营利性民办学校收费管理办法》的通知</w:t>
      </w:r>
    </w:p>
    <w:p>
      <w:pPr>
        <w:spacing w:after="60" w:line="420" w:lineRule="exact"/>
        <w:ind w:firstLine="0"/>
        <w:jc w:val="both"/>
        <w:rPr>
          <w:rFonts w:hint="eastAsia" w:ascii="仿宋" w:hAnsi="仿宋" w:eastAsia="仿宋" w:cs="仿宋"/>
          <w:sz w:val="24"/>
          <w:szCs w:val="28"/>
        </w:rPr>
      </w:pPr>
      <w:r>
        <w:rPr>
          <w:rFonts w:hint="eastAsia" w:ascii="仿宋" w:hAnsi="仿宋" w:eastAsia="仿宋" w:cs="仿宋"/>
          <w:color w:val="000000"/>
          <w:sz w:val="36"/>
          <w:szCs w:val="28"/>
        </w:rPr>
        <w:t>各市（含定州、辛集市）发展改革委（局）、教育局、人力资源社会保障局、市场监管局，雄安新区改革发展局、公共服务局、综合执法局：</w:t>
      </w:r>
    </w:p>
    <w:p>
      <w:pPr>
        <w:spacing w:line="420" w:lineRule="exact"/>
        <w:ind w:firstLine="660"/>
        <w:jc w:val="both"/>
        <w:rPr>
          <w:rFonts w:hint="eastAsia" w:ascii="仿宋" w:hAnsi="仿宋" w:eastAsia="仿宋" w:cs="仿宋"/>
          <w:sz w:val="24"/>
          <w:szCs w:val="28"/>
          <w:lang w:val="en-US" w:eastAsia="zh-CN"/>
        </w:rPr>
        <w:sectPr>
          <w:footerReference r:id="rId3" w:type="default"/>
          <w:type w:val="continuous"/>
          <w:pgSz w:w="11820" w:h="16820"/>
          <w:pgMar w:top="1440" w:right="720" w:bottom="1100" w:left="1680" w:header="0" w:footer="1400" w:gutter="0"/>
          <w:cols w:space="720" w:num="1"/>
        </w:sectPr>
      </w:pPr>
      <w:r>
        <w:rPr>
          <w:rFonts w:hint="eastAsia" w:ascii="仿宋" w:hAnsi="仿宋" w:eastAsia="仿宋" w:cs="仿宋"/>
          <w:color w:val="000000"/>
          <w:sz w:val="36"/>
          <w:szCs w:val="28"/>
        </w:rPr>
        <w:t>为贯彻落实《中华人民共和国民办教育促进法》等法规政策及党中央、国务院和省委、省政府关于规范民办教育发展的</w:t>
      </w:r>
      <w:r>
        <w:rPr>
          <w:rFonts w:hint="eastAsia" w:ascii="仿宋" w:hAnsi="仿宋" w:eastAsia="仿宋" w:cs="仿宋"/>
          <w:color w:val="000000"/>
          <w:sz w:val="36"/>
          <w:szCs w:val="28"/>
          <w:lang w:val="en-US" w:eastAsia="zh-CN"/>
        </w:rPr>
        <w:t>决策</w:t>
      </w:r>
    </w:p>
    <w:p>
      <w:pPr>
        <w:spacing w:line="540" w:lineRule="exact"/>
        <w:ind w:firstLine="0"/>
        <w:jc w:val="both"/>
        <w:rPr>
          <w:rFonts w:hint="eastAsia" w:ascii="仿宋" w:hAnsi="仿宋" w:eastAsia="仿宋" w:cs="仿宋"/>
          <w:sz w:val="22"/>
          <w:szCs w:val="24"/>
        </w:rPr>
      </w:pPr>
      <w:r>
        <w:rPr>
          <w:rFonts w:hint="eastAsia" w:ascii="仿宋" w:hAnsi="仿宋" w:eastAsia="仿宋" w:cs="仿宋"/>
          <w:color w:val="000000"/>
          <w:sz w:val="32"/>
          <w:szCs w:val="24"/>
        </w:rPr>
        <w:t>部署，规范民办教育收费监管，加强民办教育收费调控，平稳有序推进民办教育健康发展，我们研究制定了《河北省非营利性民办学校收费管理办法》（以下简称《办法》），经省政府同意，现印发给你们，请认真贯彻实施。有关事项通知如下。</w:t>
      </w:r>
    </w:p>
    <w:p>
      <w:pPr>
        <w:spacing w:line="560" w:lineRule="exact"/>
        <w:ind w:firstLine="620"/>
        <w:jc w:val="both"/>
        <w:rPr>
          <w:rFonts w:hint="eastAsia" w:ascii="仿宋" w:hAnsi="仿宋" w:eastAsia="仿宋" w:cs="仿宋"/>
          <w:sz w:val="22"/>
          <w:szCs w:val="24"/>
        </w:rPr>
      </w:pPr>
      <w:r>
        <w:rPr>
          <w:rFonts w:hint="eastAsia" w:ascii="仿宋" w:hAnsi="仿宋" w:eastAsia="仿宋" w:cs="仿宋"/>
          <w:color w:val="000000"/>
          <w:sz w:val="32"/>
          <w:szCs w:val="24"/>
        </w:rPr>
        <w:t>一、提高政治站位，深化思想认识。规范民办教育收费管理是规范民办教育发展的一项重要内容，也是推进“双减”工作的重要措施，事关广大人民群众切身利益。各地各有关部门要提高政治站位，强化履职担当，将推进《办法》落地见效作为解决广大群众急难愁盼问题的重要抓手，切实加强民办学校收费调控监管，着力规范民办学校收费行为，进一步遏制教育乱收费问题，维护好受教育者和民办学校合法权益，不断促进教育发展成果更好更多更公平惠及全体人民，努力办好人民满意的教育。</w:t>
      </w:r>
    </w:p>
    <w:p>
      <w:pPr>
        <w:spacing w:line="560" w:lineRule="exact"/>
        <w:ind w:firstLine="620"/>
        <w:jc w:val="both"/>
        <w:rPr>
          <w:rFonts w:hint="eastAsia" w:ascii="仿宋" w:hAnsi="仿宋" w:eastAsia="仿宋" w:cs="仿宋"/>
          <w:sz w:val="22"/>
          <w:szCs w:val="24"/>
        </w:rPr>
      </w:pPr>
      <w:r>
        <w:rPr>
          <w:rFonts w:hint="eastAsia" w:ascii="仿宋" w:hAnsi="仿宋" w:eastAsia="仿宋" w:cs="仿宋"/>
          <w:color w:val="000000"/>
          <w:sz w:val="32"/>
          <w:szCs w:val="24"/>
        </w:rPr>
        <w:t>二、加强组织协调，协力合力推进。各地有关部门要加强组织领导，成立工作专班，研究制定工作方案，明确部门职责、工作任务和完成时限。要加强沟通交流，及时会商研究，解决存在的问题，确保《办法》平稳实施、落地见效。要认真开展调查研究，摸清当地民办教育底数，为提高价格决策科学性、合理性提供准确依据。要建立完善长效监管机制，形成齐抓共管的工作格局，发挥政府管理、社会监督的最大效能。</w:t>
      </w:r>
    </w:p>
    <w:p>
      <w:pPr>
        <w:spacing w:line="560" w:lineRule="exact"/>
        <w:ind w:firstLine="620"/>
        <w:jc w:val="both"/>
        <w:rPr>
          <w:rFonts w:hint="eastAsia" w:ascii="仿宋" w:hAnsi="仿宋" w:eastAsia="仿宋" w:cs="仿宋"/>
        </w:rPr>
        <w:sectPr>
          <w:footerReference r:id="rId4" w:type="default"/>
          <w:type w:val="continuous"/>
          <w:pgSz w:w="11840" w:h="16820"/>
          <w:pgMar w:top="1440" w:right="1380" w:bottom="1440" w:left="1360" w:header="0" w:footer="1420" w:gutter="0"/>
          <w:cols w:space="720" w:num="1"/>
        </w:sectPr>
      </w:pPr>
      <w:r>
        <w:rPr>
          <w:rFonts w:hint="eastAsia" w:ascii="仿宋" w:hAnsi="仿宋" w:eastAsia="仿宋" w:cs="仿宋"/>
          <w:color w:val="000000"/>
          <w:sz w:val="32"/>
          <w:szCs w:val="24"/>
        </w:rPr>
        <w:t>三、稳步推进实施，确保有序衔接。按照《办法》规定，实行政府定价或政府指导价管理的学费（保教费）、住宿费项目，在《办法》生效前由民办学校自主制定收费标准的，现行收费标</w:t>
      </w:r>
    </w:p>
    <w:p>
      <w:pPr>
        <w:spacing w:line="560" w:lineRule="exact"/>
        <w:ind w:firstLine="0"/>
        <w:jc w:val="both"/>
        <w:rPr>
          <w:rFonts w:hint="eastAsia" w:ascii="仿宋" w:hAnsi="仿宋" w:eastAsia="仿宋" w:cs="仿宋"/>
          <w:sz w:val="22"/>
          <w:szCs w:val="24"/>
        </w:rPr>
      </w:pPr>
      <w:r>
        <w:rPr>
          <w:rFonts w:hint="eastAsia" w:ascii="仿宋" w:hAnsi="仿宋" w:eastAsia="仿宋" w:cs="仿宋"/>
          <w:color w:val="000000"/>
          <w:sz w:val="32"/>
          <w:szCs w:val="24"/>
        </w:rPr>
        <w:t>准有具体有效日期的，执行到有效期结束，到期后按照《办法》规定制定新的收费标准，新的收费标准新老生一并执行。现行收费标准没有具体有效期的，各地要在一年内尽快对学校相关收费项目进行成本监审，对收费标准明显偏高不符合非营利性法定要求的，要按照《办法》规定重新核定，新核定的收费标准新老生一并执行；对收费标准适中，符合《办法》规定原则的，重新予以认定继续执行。在《办法》生效前已纳入政府定价或政府指导价管理的，现行标准有具体有效日期的，执行到有效期，到期后按照《办法》规定制定新的收费标准，实行“老生老办法、新生新办法”。无具体有效期的，按照《办法》规定可适时调整收费标准，实行“老生老办法、新生新办法”。</w:t>
      </w:r>
    </w:p>
    <w:p>
      <w:pPr>
        <w:spacing w:line="560" w:lineRule="exact"/>
        <w:ind w:firstLine="640"/>
        <w:jc w:val="both"/>
        <w:rPr>
          <w:rFonts w:hint="eastAsia" w:ascii="仿宋" w:hAnsi="仿宋" w:eastAsia="仿宋" w:cs="仿宋"/>
          <w:sz w:val="22"/>
          <w:szCs w:val="24"/>
        </w:rPr>
      </w:pPr>
      <w:r>
        <w:rPr>
          <w:rFonts w:hint="eastAsia" w:ascii="仿宋" w:hAnsi="仿宋" w:eastAsia="仿宋" w:cs="仿宋"/>
          <w:color w:val="000000"/>
          <w:sz w:val="32"/>
          <w:szCs w:val="24"/>
        </w:rPr>
        <w:t>服务性收费、代收费项目和标准，《办法》生效前已发生（或签约已执行），《办法》生效后服务尚未结束的在本学期内仍按原政策规定执行到服务结束，签约服务期限超过本学期，自《办法》生效下一学期开始按《办法》规定执行。《办法》生效后新发生的按《办法》规定执行。</w:t>
      </w:r>
    </w:p>
    <w:p>
      <w:pPr>
        <w:spacing w:line="560" w:lineRule="exact"/>
        <w:ind w:firstLine="640"/>
        <w:jc w:val="both"/>
        <w:rPr>
          <w:rFonts w:hint="eastAsia" w:ascii="仿宋" w:hAnsi="仿宋" w:eastAsia="仿宋" w:cs="仿宋"/>
          <w:sz w:val="22"/>
          <w:szCs w:val="24"/>
        </w:rPr>
        <w:sectPr>
          <w:footerReference r:id="rId5" w:type="default"/>
          <w:type w:val="continuous"/>
          <w:pgSz w:w="11820" w:h="16820"/>
          <w:pgMar w:top="1440" w:right="1360" w:bottom="1440" w:left="1360" w:header="0" w:footer="1420" w:gutter="0"/>
          <w:cols w:space="720" w:num="1"/>
        </w:sectPr>
      </w:pPr>
      <w:r>
        <w:rPr>
          <w:rFonts w:hint="eastAsia" w:ascii="仿宋" w:hAnsi="仿宋" w:eastAsia="仿宋" w:cs="仿宋"/>
          <w:color w:val="000000"/>
          <w:sz w:val="32"/>
          <w:szCs w:val="24"/>
        </w:rPr>
        <w:t>四、坚持依法行政，强化监督管理。各地各有关部门制定调整政府定价收费标准要落实《政府制定价格行为规定》，严格履行定价程序，认真开展调查研究、成本监审（成本调查），广泛征求意见，列入价格听证目录的项目要公开听证，确保价格决策依法合规、科学合理。要指导民办学校建立收费台帐，健全收费管理制度，健全日常收费管理机制，切实规范收费行为。要进一</w:t>
      </w:r>
    </w:p>
    <w:p>
      <w:pPr>
        <w:spacing w:line="540" w:lineRule="exact"/>
        <w:ind w:firstLine="0"/>
        <w:jc w:val="left"/>
        <w:rPr>
          <w:rFonts w:hint="eastAsia" w:ascii="仿宋" w:hAnsi="仿宋" w:eastAsia="仿宋" w:cs="仿宋"/>
          <w:sz w:val="22"/>
          <w:szCs w:val="24"/>
        </w:rPr>
      </w:pPr>
      <w:r>
        <w:rPr>
          <w:rFonts w:hint="eastAsia" w:ascii="仿宋" w:hAnsi="仿宋" w:eastAsia="仿宋" w:cs="仿宋"/>
          <w:color w:val="000000"/>
          <w:sz w:val="32"/>
          <w:szCs w:val="24"/>
        </w:rPr>
        <w:t>步加大教育收费监督检查，严肃查处乱收费问题，对屡禁不止、</w:t>
      </w:r>
    </w:p>
    <w:p>
      <w:pPr>
        <w:spacing w:line="540" w:lineRule="exact"/>
        <w:ind w:firstLine="0"/>
        <w:jc w:val="left"/>
        <w:rPr>
          <w:rFonts w:hint="eastAsia" w:ascii="仿宋" w:hAnsi="仿宋" w:eastAsia="仿宋" w:cs="仿宋"/>
          <w:sz w:val="22"/>
          <w:szCs w:val="24"/>
        </w:rPr>
      </w:pPr>
      <w:r>
        <w:rPr>
          <w:rFonts w:hint="eastAsia" w:ascii="仿宋" w:hAnsi="仿宋" w:eastAsia="仿宋" w:cs="仿宋"/>
          <w:color w:val="000000"/>
          <w:sz w:val="32"/>
          <w:szCs w:val="24"/>
        </w:rPr>
        <w:t>影响恶劣的乱收费问题，要公开曝光、追责问责。</w:t>
      </w:r>
    </w:p>
    <w:p>
      <w:pPr>
        <w:spacing w:line="560" w:lineRule="exact"/>
        <w:ind w:firstLine="640"/>
        <w:jc w:val="both"/>
        <w:rPr>
          <w:rFonts w:hint="eastAsia" w:ascii="仿宋" w:hAnsi="仿宋" w:eastAsia="仿宋" w:cs="仿宋"/>
          <w:sz w:val="22"/>
          <w:szCs w:val="24"/>
        </w:rPr>
      </w:pPr>
      <w:r>
        <w:rPr>
          <w:rFonts w:hint="eastAsia" w:ascii="仿宋" w:hAnsi="仿宋" w:eastAsia="仿宋" w:cs="仿宋"/>
          <w:color w:val="000000"/>
          <w:sz w:val="32"/>
          <w:szCs w:val="24"/>
        </w:rPr>
        <w:t>五、加强宣传解读，营造良好氛围。各地有关部门要通过多种渠道和方式加强《办法》的宣传解读，使社会公众和民办学校全面了解《办法》的具体内容和相关规定，取得社会各方的理解和支持，为收费政策顺利实施营造良好社会环境和舆论氛围。</w:t>
      </w:r>
    </w:p>
    <w:p>
      <w:pPr>
        <w:spacing w:after="480" w:line="560" w:lineRule="exact"/>
        <w:ind w:firstLine="640"/>
        <w:jc w:val="both"/>
        <w:rPr>
          <w:rFonts w:hint="eastAsia" w:ascii="仿宋" w:hAnsi="仿宋" w:eastAsia="仿宋" w:cs="仿宋"/>
          <w:sz w:val="22"/>
          <w:szCs w:val="24"/>
        </w:rPr>
      </w:pPr>
      <w:r>
        <w:rPr>
          <w:rFonts w:hint="eastAsia" w:ascii="仿宋" w:hAnsi="仿宋" w:eastAsia="仿宋" w:cs="仿宋"/>
          <w:color w:val="000000"/>
          <w:sz w:val="32"/>
          <w:szCs w:val="24"/>
        </w:rPr>
        <w:t>六、跟踪监测评估，健全长效机制。各地有关部门要跟踪监测《办法》落实情况，及时总结评估收费监管政策实施中存在问题及意见建议，建立收费监管政策、收费标准动态调整机制，根据监测评估情况，适时对收费政策、收费标准进行调整完善。</w:t>
      </w:r>
    </w:p>
    <w:p>
      <w:pPr>
        <w:spacing w:line="620" w:lineRule="exact"/>
        <w:ind w:firstLine="640"/>
        <w:jc w:val="left"/>
        <w:rPr>
          <w:rFonts w:hint="eastAsia" w:ascii="仿宋" w:hAnsi="仿宋" w:eastAsia="仿宋" w:cs="仿宋"/>
          <w:sz w:val="22"/>
          <w:szCs w:val="24"/>
        </w:rPr>
        <w:sectPr>
          <w:type w:val="continuous"/>
          <w:pgSz w:w="11900" w:h="16820"/>
          <w:pgMar w:top="1440" w:right="720" w:bottom="1440" w:left="1380" w:header="0" w:footer="1420" w:gutter="0"/>
          <w:cols w:space="720" w:num="1"/>
        </w:sectPr>
      </w:pPr>
      <w:r>
        <w:rPr>
          <w:rFonts w:hint="eastAsia" w:ascii="仿宋" w:hAnsi="仿宋" w:eastAsia="仿宋" w:cs="仿宋"/>
          <w:color w:val="000000"/>
          <w:sz w:val="36"/>
          <w:szCs w:val="24"/>
        </w:rPr>
        <w:t>附件：河北省非营利性民办学校收费管理办法</w:t>
      </w:r>
    </w:p>
    <w:p>
      <w:pPr>
        <w:spacing w:before="1420" w:after="3140" w:line="360" w:lineRule="exact"/>
        <w:ind w:left="640" w:firstLine="0"/>
        <w:jc w:val="both"/>
      </w:pPr>
      <w:r>
        <w:rPr>
          <w:rFonts w:hint="eastAsia" w:ascii="宋体" w:hAnsi="宋体" w:eastAsia="宋体"/>
          <w:color w:val="000000"/>
          <w:sz w:val="34"/>
        </w:rPr>
        <w:t>河北省发展和改革委员会</w:t>
      </w:r>
      <w:r>
        <w:drawing>
          <wp:anchor distT="0" distB="0" distL="114300" distR="114300" simplePos="0" relativeHeight="251659264" behindDoc="1" locked="0" layoutInCell="1" allowOverlap="1">
            <wp:simplePos x="0" y="0"/>
            <wp:positionH relativeFrom="page">
              <wp:posOffset>1714500</wp:posOffset>
            </wp:positionH>
            <wp:positionV relativeFrom="paragraph">
              <wp:posOffset>279400</wp:posOffset>
            </wp:positionV>
            <wp:extent cx="1676400" cy="1651000"/>
            <wp:effectExtent l="0" t="0" r="2540" b="4445"/>
            <wp:wrapNone/>
            <wp:docPr id="1" name="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MP"/>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1676400" cy="1651000"/>
                    </a:xfrm>
                    <a:prstGeom prst="rect">
                      <a:avLst/>
                    </a:prstGeom>
                  </pic:spPr>
                </pic:pic>
              </a:graphicData>
            </a:graphic>
          </wp:anchor>
        </w:drawing>
      </w:r>
    </w:p>
    <w:p>
      <w:pPr>
        <w:spacing w:line="360" w:lineRule="exact"/>
        <w:ind w:left="640" w:firstLine="0"/>
        <w:jc w:val="both"/>
      </w:pPr>
      <w:r>
        <w:rPr>
          <w:rFonts w:hint="eastAsia" w:ascii="宋体" w:hAnsi="宋体" w:eastAsia="宋体"/>
          <w:color w:val="000000"/>
          <w:sz w:val="34"/>
        </w:rPr>
        <w:t>河北省人力资源和社会保障厅</w:t>
      </w:r>
      <w:r>
        <w:drawing>
          <wp:anchor distT="0" distB="0" distL="114300" distR="114300" simplePos="0" relativeHeight="251659264" behindDoc="1" locked="0" layoutInCell="1" allowOverlap="1">
            <wp:simplePos x="0" y="0"/>
            <wp:positionH relativeFrom="page">
              <wp:posOffset>1676400</wp:posOffset>
            </wp:positionH>
            <wp:positionV relativeFrom="paragraph">
              <wp:posOffset>-876300</wp:posOffset>
            </wp:positionV>
            <wp:extent cx="1701800" cy="1663700"/>
            <wp:effectExtent l="0" t="0" r="2540" b="4445"/>
            <wp:wrapNone/>
            <wp:docPr id="2" name="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MP"/>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701800" cy="1663700"/>
                    </a:xfrm>
                    <a:prstGeom prst="rect">
                      <a:avLst/>
                    </a:prstGeom>
                  </pic:spPr>
                </pic:pic>
              </a:graphicData>
            </a:graphic>
          </wp:anchor>
        </w:drawing>
      </w:r>
      <w:r>
        <w:drawing>
          <wp:anchor distT="0" distB="0" distL="114300" distR="114300" simplePos="0" relativeHeight="251659264" behindDoc="1" locked="0" layoutInCell="1" allowOverlap="1">
            <wp:simplePos x="0" y="0"/>
            <wp:positionH relativeFrom="page">
              <wp:posOffset>4724400</wp:posOffset>
            </wp:positionH>
            <wp:positionV relativeFrom="paragraph">
              <wp:posOffset>-812800</wp:posOffset>
            </wp:positionV>
            <wp:extent cx="1701800" cy="1676400"/>
            <wp:effectExtent l="0" t="0" r="2540" b="4445"/>
            <wp:wrapNone/>
            <wp:docPr id="3" name="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MP"/>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1701800" cy="1676400"/>
                    </a:xfrm>
                    <a:prstGeom prst="rect">
                      <a:avLst/>
                    </a:prstGeom>
                  </pic:spPr>
                </pic:pic>
              </a:graphicData>
            </a:graphic>
          </wp:anchor>
        </w:drawing>
      </w:r>
      <w:r>
        <w:drawing>
          <wp:anchor distT="0" distB="0" distL="114300" distR="114300" simplePos="0" relativeHeight="251659264" behindDoc="1" locked="0" layoutInCell="1" allowOverlap="1">
            <wp:simplePos x="0" y="0"/>
            <wp:positionH relativeFrom="page">
              <wp:posOffset>1676400</wp:posOffset>
            </wp:positionH>
            <wp:positionV relativeFrom="paragraph">
              <wp:posOffset>-876300</wp:posOffset>
            </wp:positionV>
            <wp:extent cx="1701800" cy="1663700"/>
            <wp:effectExtent l="0" t="0" r="2540" b="4445"/>
            <wp:wrapNone/>
            <wp:docPr id="4" name="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MP"/>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701800" cy="1663700"/>
                    </a:xfrm>
                    <a:prstGeom prst="rect">
                      <a:avLst/>
                    </a:prstGeom>
                  </pic:spPr>
                </pic:pic>
              </a:graphicData>
            </a:graphic>
          </wp:anchor>
        </w:drawing>
      </w:r>
    </w:p>
    <w:p>
      <w:pPr>
        <w:spacing w:line="1" w:lineRule="exact"/>
      </w:pPr>
      <w:r>
        <w:br w:type="column"/>
      </w:r>
    </w:p>
    <w:p>
      <w:pPr>
        <w:spacing w:before="1460" w:after="3060" w:line="440" w:lineRule="exact"/>
        <w:ind w:firstLine="0"/>
        <w:jc w:val="left"/>
      </w:pPr>
      <w:r>
        <w:rPr>
          <w:rFonts w:hint="eastAsia" w:ascii="宋体" w:hAnsi="宋体" w:eastAsia="宋体"/>
          <w:color w:val="000000"/>
          <w:sz w:val="34"/>
        </w:rPr>
        <w:t>河北省教育厅</w:t>
      </w:r>
      <w:r>
        <w:drawing>
          <wp:anchor distT="0" distB="0" distL="114300" distR="114300" simplePos="0" relativeHeight="251659264" behindDoc="1" locked="0" layoutInCell="1" allowOverlap="1">
            <wp:simplePos x="0" y="0"/>
            <wp:positionH relativeFrom="page">
              <wp:posOffset>4610100</wp:posOffset>
            </wp:positionH>
            <wp:positionV relativeFrom="paragraph">
              <wp:posOffset>-25400</wp:posOffset>
            </wp:positionV>
            <wp:extent cx="1689100" cy="1701800"/>
            <wp:effectExtent l="0" t="0" r="2540" b="4445"/>
            <wp:wrapNone/>
            <wp:docPr id="5" name="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MP"/>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689100" cy="1701800"/>
                    </a:xfrm>
                    <a:prstGeom prst="rect">
                      <a:avLst/>
                    </a:prstGeom>
                  </pic:spPr>
                </pic:pic>
              </a:graphicData>
            </a:graphic>
          </wp:anchor>
        </w:drawing>
      </w:r>
    </w:p>
    <w:p>
      <w:pPr>
        <w:spacing w:after="180" w:line="440" w:lineRule="exact"/>
        <w:ind w:firstLine="0"/>
        <w:jc w:val="both"/>
      </w:pPr>
      <w:r>
        <w:rPr>
          <w:rFonts w:hint="eastAsia" w:ascii="宋体" w:hAnsi="宋体" w:eastAsia="宋体"/>
          <w:color w:val="000000"/>
          <w:sz w:val="34"/>
        </w:rPr>
        <w:t>河北省市场监督管理局</w:t>
      </w:r>
    </w:p>
    <w:p>
      <w:pPr>
        <w:spacing w:line="360" w:lineRule="exact"/>
        <w:ind w:firstLine="0"/>
        <w:jc w:val="left"/>
        <w:sectPr>
          <w:footerReference r:id="rId6" w:type="default"/>
          <w:type w:val="continuous"/>
          <w:pgSz w:w="11900" w:h="16820"/>
          <w:pgMar w:top="1440" w:right="720" w:bottom="1440" w:left="1380" w:header="0" w:footer="1420" w:gutter="0"/>
          <w:cols w:equalWidth="0" w:num="2">
            <w:col w:w="5460" w:space="520"/>
            <w:col w:w="3800"/>
          </w:cols>
        </w:sectPr>
      </w:pPr>
      <w:r>
        <w:rPr>
          <w:rFonts w:hint="eastAsia" w:ascii="宋体" w:hAnsi="宋体" w:eastAsia="宋体"/>
          <w:color w:val="000000"/>
          <w:sz w:val="28"/>
        </w:rPr>
        <w:t>2022年12月5日</w:t>
      </w:r>
    </w:p>
    <w:p>
      <w:pPr>
        <w:spacing w:after="340" w:line="580" w:lineRule="exact"/>
        <w:ind w:firstLine="0"/>
        <w:jc w:val="left"/>
      </w:pPr>
      <w:r>
        <w:rPr>
          <w:rFonts w:hint="eastAsia" w:ascii="宋体" w:hAnsi="宋体" w:eastAsia="宋体"/>
          <w:color w:val="000000"/>
          <w:sz w:val="30"/>
        </w:rPr>
        <w:t>附件</w:t>
      </w:r>
    </w:p>
    <w:p>
      <w:pPr>
        <w:spacing w:after="340" w:line="820" w:lineRule="exact"/>
        <w:ind w:left="0" w:leftChars="0" w:firstLine="0" w:firstLineChars="0"/>
        <w:jc w:val="center"/>
        <w:rPr>
          <w:b/>
          <w:bCs/>
        </w:rPr>
      </w:pPr>
      <w:r>
        <w:rPr>
          <w:rFonts w:hint="eastAsia" w:ascii="宋体" w:hAnsi="宋体" w:eastAsia="宋体"/>
          <w:b/>
          <w:bCs/>
          <w:color w:val="000000"/>
          <w:sz w:val="42"/>
        </w:rPr>
        <w:t>河北省非营利性民办学校收费管理办法</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第一条 为规范非营利性民办学校（含教育机构）收费行为，维护民办学校和受教育者的合法权益，促进民办教育健康发展，根据《中华人民共和国价格法》《中华</w:t>
      </w:r>
      <w:bookmarkStart w:id="0" w:name="_GoBack"/>
      <w:bookmarkEnd w:id="0"/>
      <w:r>
        <w:rPr>
          <w:rFonts w:hint="eastAsia" w:ascii="仿宋" w:hAnsi="仿宋" w:eastAsia="仿宋" w:cs="仿宋"/>
          <w:color w:val="000000"/>
          <w:sz w:val="32"/>
          <w:szCs w:val="32"/>
        </w:rPr>
        <w:t>人民共和国民办教育促进法》《中华人民共和国民办教育促进法实施条例》等法律法规和政策规定及党中央、国务院和省委、省政府关于规范民办义务教育发展的决策部署，结合我省实际，制定本办法。</w:t>
      </w:r>
    </w:p>
    <w:p>
      <w:pPr>
        <w:spacing w:line="54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第二条 本办法适用于河北省境内依据《中华人民共和国民办教育促进法》审批的面向社会的各级各类非营利性民办学校及其他非营利性民办教育机构（以下简称“民办学校”）。</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第三条 民办学校对受教育者（以下简称学生）可以收取学费（或培训费，幼儿园为保教费），对在校住宿的学生可以收取住宿费。民办幼儿园对自愿在幼儿园就餐的幼儿收取伙食费。民办学校收费应遵循非营利性原则。</w:t>
      </w:r>
    </w:p>
    <w:p>
      <w:pPr>
        <w:spacing w:line="560" w:lineRule="exact"/>
        <w:ind w:firstLine="640"/>
        <w:jc w:val="both"/>
        <w:rPr>
          <w:rFonts w:hint="eastAsia" w:ascii="仿宋" w:hAnsi="仿宋" w:eastAsia="仿宋" w:cs="仿宋"/>
          <w:sz w:val="32"/>
          <w:szCs w:val="32"/>
        </w:rPr>
        <w:sectPr>
          <w:footerReference r:id="rId7" w:type="default"/>
          <w:type w:val="continuous"/>
          <w:pgSz w:w="11820" w:h="16840"/>
          <w:pgMar w:top="1440" w:right="1200" w:bottom="1440" w:left="1380" w:header="0" w:footer="1420" w:gutter="0"/>
          <w:cols w:space="720" w:num="1"/>
        </w:sectPr>
      </w:pPr>
      <w:r>
        <w:rPr>
          <w:rFonts w:hint="eastAsia" w:ascii="仿宋" w:hAnsi="仿宋" w:eastAsia="仿宋" w:cs="仿宋"/>
          <w:color w:val="000000"/>
          <w:sz w:val="32"/>
          <w:szCs w:val="32"/>
        </w:rPr>
        <w:t>第四条 民办学校在完成正常的保育、教育教学任务外，为在校学生提供学习、生活的相关便利服务，及组织开展课后服务、社会实践、研学旅行等活动，对应由学生或学生家长承担的部分可收取服务性费用。相关服务由学校之外的机构或个人提供的，学校可代收代付相关费用。学校收取的服务性收费、代收费，必</w:t>
      </w:r>
    </w:p>
    <w:p>
      <w:pPr>
        <w:spacing w:line="560" w:lineRule="exact"/>
        <w:ind w:firstLine="0"/>
        <w:jc w:val="both"/>
        <w:rPr>
          <w:rFonts w:hint="eastAsia" w:ascii="仿宋" w:hAnsi="仿宋" w:eastAsia="仿宋" w:cs="仿宋"/>
          <w:sz w:val="32"/>
          <w:szCs w:val="32"/>
        </w:rPr>
      </w:pPr>
      <w:r>
        <w:rPr>
          <w:rFonts w:hint="eastAsia" w:ascii="仿宋" w:hAnsi="仿宋" w:eastAsia="仿宋" w:cs="仿宋"/>
          <w:color w:val="000000"/>
          <w:sz w:val="32"/>
          <w:szCs w:val="32"/>
        </w:rPr>
        <w:t>须遵循“确实需要、学生（家长）自愿、不得营利、据实收取、及时结算、收支公开”的原则。代收费和服务性收费不得与学费（保教费）、住宿费捆绑收取。不得将国家和省明令禁止收取的项目列为服务性收费或代收费项目。严禁学校或个人强制向学生收取服务性收费、代收费或只收费不服务。严禁借为学生代购代办服务之机从中营利或捞取好处。</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首次为学生办理须统一使用的学生手册、学生证、校徽、图书借阅证、就餐证（餐卡）、校园卡和毕业证等证、册、卡，不得收费。遗失损坏补办的，可按成本收费。按教育行政部门颁发的教学大纲要求，列入教学培养计划或教学安排的各类教学或实习、实训、实践活动不得在学费之外另行收取费用。</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第五条 服务性收费和代收费项目由省统一管理。</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服务性收费项目为：学校自办食堂伙食费、学校内部公共浴室洗浴费、义务教育阶段学校课后服务费（课后服务开展时间参照公办学校规定）、社会实践费、研学旅行费、校车费（幼儿园、小学）、幼儿园延时服务费。</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代收费项目为：体检费（按规定，费用由财政负担的不得收费）、校服费（含特殊专业服装费，幼儿园不得收取校服费）、教科书费（按规定免费提供教科书的不得收费，幼儿园不得收费）、考试费（教育主管部门或学校按照国家和省规定组织的允许收费的各类考试）、住宿生床上用品费。</w:t>
      </w:r>
    </w:p>
    <w:p>
      <w:pPr>
        <w:spacing w:line="560" w:lineRule="exact"/>
        <w:ind w:firstLine="640"/>
        <w:jc w:val="left"/>
        <w:rPr>
          <w:rFonts w:hint="eastAsia" w:ascii="仿宋" w:hAnsi="仿宋" w:eastAsia="仿宋" w:cs="仿宋"/>
          <w:sz w:val="32"/>
          <w:szCs w:val="32"/>
        </w:rPr>
        <w:sectPr>
          <w:footerReference r:id="rId8" w:type="default"/>
          <w:type w:val="continuous"/>
          <w:pgSz w:w="11820" w:h="16820"/>
          <w:pgMar w:top="1440" w:right="1380" w:bottom="1440" w:left="1400" w:header="0" w:footer="1420" w:gutter="0"/>
          <w:cols w:space="720" w:num="1"/>
        </w:sectPr>
      </w:pPr>
      <w:r>
        <w:rPr>
          <w:rFonts w:hint="eastAsia" w:ascii="仿宋" w:hAnsi="仿宋" w:eastAsia="仿宋" w:cs="仿宋"/>
          <w:color w:val="000000"/>
          <w:sz w:val="32"/>
          <w:szCs w:val="32"/>
        </w:rPr>
        <w:t>第六条 民办学校收费标准实行分级分类管理。</w:t>
      </w:r>
    </w:p>
    <w:p>
      <w:pPr>
        <w:spacing w:line="68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（一）幼儿园收费</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1．保教费、住宿费。民办幼儿园保教费、住宿费标准实行政府定价或政府指导价。保教费收费分类等级标准（普惠园除外），由市（设区市，含定州、辛集市；下同）、雄安新区、县（含县级市，下同）教育行政部门根据幼儿园等级、平均办园成本，结合当地经济发展水平、居民承受能力及法定非营利要求等因素提出，报同级价格主管部门核定。住宿费（含普惠园）收费标准由幼儿园严格按照住宿成本提出，经市、雄安新区、县教育行政部门审核同意后，报同级价格主管部门核定。</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普惠性民办幼儿园保教费，由市、雄安新区、县教育行政部门会同价格主管部门根据保教成本、政府补助支持情况及办园水平等因素核定最高收费标准，普惠性民办幼儿园在最高标准范围内制定具体收费标准，抄送当地签约的教育行政部门及同级价格主管部门和市场监督管理部门。</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2．伙食费。幼儿园应成立由营养师、防疫保健医生、伙食管理员、幼儿家长代表组成的伙食管理委员会。幼儿园伙食费标准，由伙食管理委员会根据幼儿园食谱、原材料市场物价变化等情况进行成本测算（保教费成本测算中已包含幼儿食堂人工、水电、设备折旧等费用的，测算伙食费成本时不得重复计算）后提出，经2／3（含本数）以上幼儿家长签名同意，公示10天后执行，并抄送当地价格主管、教育行政和市场监督管理部门。</w:t>
      </w:r>
    </w:p>
    <w:p>
      <w:pPr>
        <w:spacing w:line="560" w:lineRule="exact"/>
        <w:ind w:firstLine="640"/>
        <w:jc w:val="left"/>
        <w:rPr>
          <w:rFonts w:hint="eastAsia" w:ascii="仿宋" w:hAnsi="仿宋" w:eastAsia="仿宋" w:cs="仿宋"/>
          <w:sz w:val="32"/>
          <w:szCs w:val="32"/>
        </w:rPr>
        <w:sectPr>
          <w:footerReference r:id="rId9" w:type="default"/>
          <w:type w:val="continuous"/>
          <w:pgSz w:w="11980" w:h="16820"/>
          <w:pgMar w:top="1440" w:right="720" w:bottom="1440" w:left="1420" w:header="0" w:footer="1400" w:gutter="0"/>
          <w:cols w:space="720" w:num="1"/>
        </w:sectPr>
      </w:pPr>
      <w:r>
        <w:rPr>
          <w:rFonts w:hint="eastAsia" w:ascii="仿宋" w:hAnsi="仿宋" w:eastAsia="仿宋" w:cs="仿宋"/>
          <w:color w:val="000000"/>
          <w:sz w:val="32"/>
          <w:szCs w:val="32"/>
        </w:rPr>
        <w:t>3．代收费项目和标准。民办幼儿园可收取的代收费项目为</w:t>
      </w:r>
    </w:p>
    <w:p>
      <w:pPr>
        <w:spacing w:line="560" w:lineRule="exact"/>
        <w:ind w:firstLine="0"/>
        <w:jc w:val="both"/>
        <w:rPr>
          <w:rFonts w:hint="eastAsia" w:ascii="仿宋" w:hAnsi="仿宋" w:eastAsia="仿宋" w:cs="仿宋"/>
          <w:sz w:val="32"/>
          <w:szCs w:val="32"/>
        </w:rPr>
      </w:pPr>
      <w:r>
        <w:rPr>
          <w:rFonts w:hint="eastAsia" w:ascii="仿宋" w:hAnsi="仿宋" w:eastAsia="仿宋" w:cs="仿宋"/>
          <w:color w:val="000000"/>
          <w:sz w:val="32"/>
          <w:szCs w:val="32"/>
        </w:rPr>
        <w:t>体检费（幼儿园按照卫生健康部门规定统一组织在园幼儿体检，代医疗机构收取的体检费）。体检费标准，应根据检查项目按不超过政府医疗价格管理部门规定的公办医疗服务价格相应等级标准收取。</w:t>
      </w:r>
    </w:p>
    <w:p>
      <w:pPr>
        <w:spacing w:line="560" w:lineRule="exact"/>
        <w:ind w:firstLine="600"/>
        <w:jc w:val="both"/>
        <w:rPr>
          <w:rFonts w:hint="eastAsia" w:ascii="仿宋" w:hAnsi="仿宋" w:eastAsia="仿宋" w:cs="仿宋"/>
          <w:sz w:val="32"/>
          <w:szCs w:val="32"/>
        </w:rPr>
      </w:pPr>
      <w:r>
        <w:rPr>
          <w:rFonts w:hint="eastAsia" w:ascii="仿宋" w:hAnsi="仿宋" w:eastAsia="仿宋" w:cs="仿宋"/>
          <w:color w:val="000000"/>
          <w:sz w:val="32"/>
          <w:szCs w:val="32"/>
        </w:rPr>
        <w:t>4．服务性收费项目和标准。民办幼儿园可以收取的服务性收费项目为社会实践活动费（幼儿园统一组织幼儿外出进行爱国主义教育参观等社会实践活动发生的应由幼儿分摊的费用）、延时服务费（非寄宿制幼儿园放学后家长不能在规定的时间内接走幼儿，从而延长幼儿在园看护时间，所收取的延时看护服务费；幼儿园规定的接幼儿时间一般不少于0.5小时）、校车服务费（幼儿园提供校车接送服务所收取的费用）。上述服务费标准由幼儿园按照补偿成本及非营利原则与幼儿家长协商确定，双方应当签订协议，明确服务内容、收费标准、计费办法以及双方相关权利、义务。</w:t>
      </w:r>
    </w:p>
    <w:p>
      <w:pPr>
        <w:spacing w:line="560" w:lineRule="exact"/>
        <w:ind w:firstLine="700"/>
        <w:jc w:val="left"/>
        <w:rPr>
          <w:rFonts w:hint="eastAsia" w:ascii="仿宋" w:hAnsi="仿宋" w:eastAsia="仿宋" w:cs="仿宋"/>
          <w:sz w:val="32"/>
          <w:szCs w:val="32"/>
        </w:rPr>
      </w:pPr>
      <w:r>
        <w:rPr>
          <w:rFonts w:hint="eastAsia" w:ascii="仿宋" w:hAnsi="仿宋" w:eastAsia="仿宋" w:cs="仿宋"/>
          <w:color w:val="000000"/>
          <w:sz w:val="32"/>
          <w:szCs w:val="32"/>
        </w:rPr>
        <w:t>（二）义务教育阶段民办学校收费</w:t>
      </w:r>
    </w:p>
    <w:p>
      <w:pPr>
        <w:spacing w:line="560" w:lineRule="exact"/>
        <w:ind w:firstLine="640"/>
        <w:jc w:val="both"/>
        <w:rPr>
          <w:rFonts w:hint="eastAsia" w:ascii="仿宋" w:hAnsi="仿宋" w:eastAsia="仿宋" w:cs="仿宋"/>
          <w:sz w:val="32"/>
          <w:szCs w:val="32"/>
        </w:rPr>
        <w:sectPr>
          <w:footerReference r:id="rId10" w:type="default"/>
          <w:type w:val="continuous"/>
          <w:pgSz w:w="11800" w:h="16820"/>
          <w:pgMar w:top="1440" w:right="1340" w:bottom="1440" w:left="1360" w:header="0" w:footer="1400" w:gutter="0"/>
          <w:cols w:space="720" w:num="1"/>
        </w:sectPr>
      </w:pPr>
      <w:r>
        <w:rPr>
          <w:rFonts w:hint="eastAsia" w:ascii="仿宋" w:hAnsi="仿宋" w:eastAsia="仿宋" w:cs="仿宋"/>
          <w:color w:val="000000"/>
          <w:sz w:val="32"/>
          <w:szCs w:val="32"/>
        </w:rPr>
        <w:t>1．学费、住宿费。义务教育阶段民办学校的学费、住宿费实行政府定价或政府指导价。学费标准，由民办学校根据办学成本、政府财政补助、群众承受能力及法定非营利要求等因素提出，经市、雄安新区、县教育行政部门审核同意，报当地同级价格主管部门核定。住宿费收费标准，由学校根据住宿条件和成本提出，经市、雄安新区、县教育行政部门审核同意，报当地同级价格主管部门核定。</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2．服务性收费、代收费项目和标准。服务性收费、代收费项目按照本办法第五条规定执行。义务教育课后服务费，由市、雄安新区、县教育行政部门根据成本补偿和非营利原则提出，报同级价格主管部门审核，共同报同级人民政府（雄安新区管委会）批准后执行。学费中包含课后服务项目的，不得重复收取课后服务费。研学旅行费、校车费由学校根据成本补偿和非营利原则与学生家长协商确定，双方应当签订协议，明确服务内容、收费标准、计费办法以及双方相关权利、义务。其他服务性收费由学校根据成本补偿和非营利原则自主确定。代收费由学校据实收取，不得从中营利。</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3．受当地政府委托承担义务教育任务的民办学校，向委托就读学生收费，执行当地同级同类公办学校的收费政策。</w:t>
      </w:r>
    </w:p>
    <w:p>
      <w:pPr>
        <w:spacing w:line="560" w:lineRule="exact"/>
        <w:ind w:firstLine="640"/>
        <w:jc w:val="left"/>
        <w:rPr>
          <w:rFonts w:hint="eastAsia" w:ascii="仿宋" w:hAnsi="仿宋" w:eastAsia="仿宋" w:cs="仿宋"/>
          <w:sz w:val="32"/>
          <w:szCs w:val="32"/>
        </w:rPr>
      </w:pPr>
      <w:r>
        <w:rPr>
          <w:rFonts w:hint="eastAsia" w:ascii="仿宋" w:hAnsi="仿宋" w:eastAsia="仿宋" w:cs="仿宋"/>
          <w:color w:val="000000"/>
          <w:sz w:val="32"/>
          <w:szCs w:val="32"/>
        </w:rPr>
        <w:t>（三）民办普通高中学校收费</w:t>
      </w:r>
    </w:p>
    <w:p>
      <w:pPr>
        <w:spacing w:line="58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1．学费、住宿费。民办普通高中学费、住宿费实行政府定价或政府指导价。学费标准，由民办学校根据办学成本、当地经济发展水平、群众承受能力及法定非营利要求等因素提出，经市、雄安新区教育行政部门审核同意，报当地同级价格主管部门核定。住宿费收费标准，由学校根据住宿条件和成本提出，经市、雄安新区教育行政部门审核同意，报当地同级价格主管部门核定。</w:t>
      </w:r>
    </w:p>
    <w:p>
      <w:pPr>
        <w:spacing w:line="580" w:lineRule="exact"/>
        <w:ind w:firstLine="640"/>
        <w:jc w:val="both"/>
        <w:rPr>
          <w:rFonts w:hint="eastAsia" w:ascii="仿宋" w:hAnsi="仿宋" w:eastAsia="仿宋" w:cs="仿宋"/>
          <w:sz w:val="32"/>
          <w:szCs w:val="32"/>
        </w:rPr>
        <w:sectPr>
          <w:footerReference r:id="rId11" w:type="default"/>
          <w:type w:val="continuous"/>
          <w:pgSz w:w="11860" w:h="16820"/>
          <w:pgMar w:top="1440" w:right="1340" w:bottom="1440" w:left="1360" w:header="0" w:footer="1380" w:gutter="0"/>
          <w:cols w:space="720" w:num="1"/>
        </w:sectPr>
      </w:pPr>
      <w:r>
        <w:rPr>
          <w:rFonts w:hint="eastAsia" w:ascii="仿宋" w:hAnsi="仿宋" w:eastAsia="仿宋" w:cs="仿宋"/>
          <w:color w:val="000000"/>
          <w:sz w:val="32"/>
          <w:szCs w:val="32"/>
        </w:rPr>
        <w:t>2．服务性收费、代收费项目和标准。服务性收费、代收费项目按照本办法第五条规定执行。服务性收费由学校根据成本补</w:t>
      </w:r>
    </w:p>
    <w:p>
      <w:pPr>
        <w:spacing w:line="560" w:lineRule="exact"/>
        <w:ind w:firstLine="0"/>
        <w:jc w:val="left"/>
        <w:rPr>
          <w:rFonts w:hint="eastAsia" w:ascii="仿宋" w:hAnsi="仿宋" w:eastAsia="仿宋" w:cs="仿宋"/>
          <w:sz w:val="32"/>
          <w:szCs w:val="32"/>
        </w:rPr>
      </w:pPr>
      <w:r>
        <w:rPr>
          <w:rFonts w:hint="eastAsia" w:ascii="仿宋" w:hAnsi="仿宋" w:eastAsia="仿宋" w:cs="仿宋"/>
          <w:color w:val="000000"/>
          <w:sz w:val="32"/>
          <w:szCs w:val="32"/>
        </w:rPr>
        <w:t>偿和非营利原则自主确定。代收费由学校据实收取，不得从中营</w:t>
      </w:r>
    </w:p>
    <w:p>
      <w:pPr>
        <w:spacing w:line="560" w:lineRule="exact"/>
        <w:ind w:firstLine="0"/>
        <w:jc w:val="left"/>
        <w:rPr>
          <w:rFonts w:hint="eastAsia" w:ascii="仿宋" w:hAnsi="仿宋" w:eastAsia="仿宋" w:cs="仿宋"/>
          <w:sz w:val="32"/>
          <w:szCs w:val="32"/>
        </w:rPr>
      </w:pPr>
      <w:r>
        <w:rPr>
          <w:rFonts w:hint="eastAsia" w:ascii="仿宋" w:hAnsi="仿宋" w:eastAsia="仿宋" w:cs="仿宋"/>
          <w:color w:val="000000"/>
          <w:sz w:val="32"/>
          <w:szCs w:val="32"/>
        </w:rPr>
        <w:t>利。</w:t>
      </w:r>
    </w:p>
    <w:p>
      <w:pPr>
        <w:spacing w:line="560" w:lineRule="exact"/>
        <w:ind w:firstLine="700"/>
        <w:jc w:val="left"/>
        <w:rPr>
          <w:rFonts w:hint="eastAsia" w:ascii="仿宋" w:hAnsi="仿宋" w:eastAsia="仿宋" w:cs="仿宋"/>
          <w:sz w:val="32"/>
          <w:szCs w:val="32"/>
        </w:rPr>
      </w:pPr>
      <w:r>
        <w:rPr>
          <w:rFonts w:hint="eastAsia" w:ascii="仿宋" w:hAnsi="仿宋" w:eastAsia="仿宋" w:cs="仿宋"/>
          <w:color w:val="000000"/>
          <w:sz w:val="32"/>
          <w:szCs w:val="32"/>
        </w:rPr>
        <w:t>（四）民办本科及以上高等学历教育收费</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1．学费。民办学校全日制本科及以上高等学历教育（自费留学生除外）学费实行政府指导价。收费标准，由学校根据办学成本、当地经济发展水平、群众承受能力和法定非营利性要求等因素提出，经省教育行政部门审核同意后，报省价格主管部门核定。非全日制学历教育学费，由学校根据办学成本、市场需求、群众承受能力及法定非营利性要求等因素自主确定。自费留学生学费，由学校按照市场机制自行确定。</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2．住宿费。住宿费收费标准，由学校根据住宿条件、成本等因素按照成本补偿和非营利原则自行核定。</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3．服务性收费、代收费项目和标准。服务性收费、代收费项目按照本办法第五条规定执行。服务性收费由学校根据成本补偿和非营利原则自主确定。代收费由学校据实收取，不得从中营利。</w:t>
      </w:r>
    </w:p>
    <w:p>
      <w:pPr>
        <w:spacing w:line="560" w:lineRule="exact"/>
        <w:ind w:firstLine="700"/>
        <w:jc w:val="both"/>
        <w:rPr>
          <w:rFonts w:hint="eastAsia" w:ascii="仿宋" w:hAnsi="仿宋" w:eastAsia="仿宋" w:cs="仿宋"/>
          <w:sz w:val="32"/>
          <w:szCs w:val="32"/>
        </w:rPr>
      </w:pPr>
      <w:r>
        <w:rPr>
          <w:rFonts w:hint="eastAsia" w:ascii="仿宋" w:hAnsi="仿宋" w:eastAsia="仿宋" w:cs="仿宋"/>
          <w:color w:val="000000"/>
          <w:sz w:val="32"/>
          <w:szCs w:val="32"/>
        </w:rPr>
        <w:t>（五）义务教育阶段和高中学科类（非营利性）校外培训收费，按现行政策执行。</w:t>
      </w:r>
    </w:p>
    <w:p>
      <w:pPr>
        <w:spacing w:line="560" w:lineRule="exact"/>
        <w:ind w:firstLine="700"/>
        <w:jc w:val="left"/>
        <w:rPr>
          <w:rFonts w:hint="eastAsia" w:ascii="仿宋" w:hAnsi="仿宋" w:eastAsia="仿宋" w:cs="仿宋"/>
          <w:sz w:val="32"/>
          <w:szCs w:val="32"/>
        </w:rPr>
      </w:pPr>
      <w:r>
        <w:rPr>
          <w:rFonts w:hint="eastAsia" w:ascii="仿宋" w:hAnsi="仿宋" w:eastAsia="仿宋" w:cs="仿宋"/>
          <w:color w:val="000000"/>
          <w:sz w:val="32"/>
          <w:szCs w:val="32"/>
        </w:rPr>
        <w:t>（六）其他民办学校收费</w:t>
      </w:r>
    </w:p>
    <w:p>
      <w:pPr>
        <w:spacing w:line="560" w:lineRule="exact"/>
        <w:ind w:firstLine="640"/>
        <w:jc w:val="both"/>
        <w:rPr>
          <w:rFonts w:hint="eastAsia" w:ascii="仿宋" w:hAnsi="仿宋" w:eastAsia="仿宋" w:cs="仿宋"/>
          <w:sz w:val="32"/>
          <w:szCs w:val="32"/>
        </w:rPr>
        <w:sectPr>
          <w:footerReference r:id="rId12" w:type="default"/>
          <w:type w:val="continuous"/>
          <w:pgSz w:w="11820" w:h="16820"/>
          <w:pgMar w:top="1440" w:right="1380" w:bottom="1440" w:left="1360" w:header="0" w:footer="1420" w:gutter="0"/>
          <w:cols w:space="720" w:num="1"/>
        </w:sectPr>
      </w:pPr>
      <w:r>
        <w:rPr>
          <w:rFonts w:hint="eastAsia" w:ascii="仿宋" w:hAnsi="仿宋" w:eastAsia="仿宋" w:cs="仿宋"/>
          <w:color w:val="000000"/>
          <w:sz w:val="32"/>
          <w:szCs w:val="32"/>
        </w:rPr>
        <w:t>1．学费。上述规定以外的其他民办学校学历教育和民办学校非学历教育学费（培训费）收费标准，由学校根据办学成本、市场需求、群众承受能力及法定非营利性要求等因素自主确定。</w:t>
      </w:r>
    </w:p>
    <w:p>
      <w:pPr>
        <w:spacing w:line="560" w:lineRule="exact"/>
        <w:ind w:firstLine="0"/>
        <w:jc w:val="both"/>
        <w:rPr>
          <w:rFonts w:hint="eastAsia" w:ascii="仿宋" w:hAnsi="仿宋" w:eastAsia="仿宋" w:cs="仿宋"/>
          <w:sz w:val="32"/>
          <w:szCs w:val="32"/>
        </w:rPr>
      </w:pPr>
      <w:r>
        <w:rPr>
          <w:rFonts w:hint="eastAsia" w:ascii="仿宋" w:hAnsi="仿宋" w:eastAsia="仿宋" w:cs="仿宋"/>
          <w:color w:val="000000"/>
          <w:sz w:val="32"/>
          <w:szCs w:val="32"/>
        </w:rPr>
        <w:t>对其中公办学校参与举办、使用国有资产或者接受政府生均经费补助的非营利性民办学校全日制学历教育学费，可以根据本地情况实行最高限价管理。最高限价标准，专科（含高职）学费标准由审批学校的教育行政部门根据办学成本和财政补贴等情况提出，报同级价格主管部门核定；中等职业教育（含技工学校）学费，由学校所在地市级教育行政部门（人力资源社会保障行政部门）根据办学成本和财政补贴等情况提出，报同级价格主管部门核定。纳入国家和省规定的中等职业教育免学费政策范围的学生，免学费政策按国家和省规定执行。</w:t>
      </w:r>
    </w:p>
    <w:p>
      <w:pPr>
        <w:spacing w:line="560" w:lineRule="exact"/>
        <w:ind w:firstLine="600"/>
        <w:jc w:val="both"/>
        <w:rPr>
          <w:rFonts w:hint="eastAsia" w:ascii="仿宋" w:hAnsi="仿宋" w:eastAsia="仿宋" w:cs="仿宋"/>
          <w:sz w:val="32"/>
          <w:szCs w:val="32"/>
        </w:rPr>
      </w:pPr>
      <w:r>
        <w:rPr>
          <w:rFonts w:hint="eastAsia" w:ascii="仿宋" w:hAnsi="仿宋" w:eastAsia="仿宋" w:cs="仿宋"/>
          <w:color w:val="000000"/>
          <w:sz w:val="32"/>
          <w:szCs w:val="32"/>
        </w:rPr>
        <w:t>2．住宿费。住宿费收费标准，由学校根据住宿条件、成本等情况，按照成本补偿和非营利原则自行核定。</w:t>
      </w:r>
    </w:p>
    <w:p>
      <w:pPr>
        <w:spacing w:line="560" w:lineRule="exact"/>
        <w:ind w:firstLine="600"/>
        <w:jc w:val="both"/>
        <w:rPr>
          <w:rFonts w:hint="eastAsia" w:ascii="仿宋" w:hAnsi="仿宋" w:eastAsia="仿宋" w:cs="仿宋"/>
          <w:sz w:val="32"/>
          <w:szCs w:val="32"/>
        </w:rPr>
      </w:pPr>
      <w:r>
        <w:rPr>
          <w:rFonts w:hint="eastAsia" w:ascii="仿宋" w:hAnsi="仿宋" w:eastAsia="仿宋" w:cs="仿宋"/>
          <w:color w:val="000000"/>
          <w:sz w:val="32"/>
          <w:szCs w:val="32"/>
        </w:rPr>
        <w:t>3．服务性收费、代收费项目和标准。服务性收费、代收费项目按照本办法第五条规定执行。服务性收费由学校根据成本补偿和非营利原则自主确定。代收费由学校据实收取，不得从中营利。</w:t>
      </w:r>
    </w:p>
    <w:p>
      <w:pPr>
        <w:spacing w:line="560" w:lineRule="exact"/>
        <w:ind w:firstLine="600"/>
        <w:jc w:val="both"/>
        <w:rPr>
          <w:rFonts w:hint="eastAsia" w:ascii="仿宋" w:hAnsi="仿宋" w:eastAsia="仿宋" w:cs="仿宋"/>
          <w:sz w:val="32"/>
          <w:szCs w:val="32"/>
        </w:rPr>
        <w:sectPr>
          <w:footerReference r:id="rId13" w:type="default"/>
          <w:type w:val="continuous"/>
          <w:pgSz w:w="11820" w:h="16820"/>
          <w:pgMar w:top="1440" w:right="1380" w:bottom="1440" w:left="1380" w:header="0" w:footer="1420" w:gutter="0"/>
          <w:cols w:space="720" w:num="1"/>
        </w:sectPr>
      </w:pPr>
      <w:r>
        <w:rPr>
          <w:rFonts w:hint="eastAsia" w:ascii="仿宋" w:hAnsi="仿宋" w:eastAsia="仿宋" w:cs="仿宋"/>
          <w:color w:val="000000"/>
          <w:sz w:val="32"/>
          <w:szCs w:val="32"/>
        </w:rPr>
        <w:t>第七条 民办学校办学成本包括人员经费、公务经费、业务费、修缮费、固定资产折旧费、从学费中提取的用于资助和奖励学生的费用等学校教育和管理的正常支出。不包括灾害损失、事故等非正常费用支出和与教学无关的校办产业及经营性费用支出。幼儿园的保教费成本除上述项目外，还包括卫生保健、幼儿活动和学习生活用品费用（包括幼儿教育必备的幼儿图画、学具、玩具及耗材，午休床及床上统一配备的床垫、床单、被罩等用品，</w:t>
      </w:r>
    </w:p>
    <w:p>
      <w:pPr>
        <w:spacing w:line="520" w:lineRule="exact"/>
        <w:ind w:firstLine="0"/>
        <w:jc w:val="left"/>
        <w:rPr>
          <w:rFonts w:hint="eastAsia" w:ascii="仿宋" w:hAnsi="仿宋" w:eastAsia="仿宋" w:cs="仿宋"/>
          <w:sz w:val="32"/>
          <w:szCs w:val="32"/>
        </w:rPr>
      </w:pPr>
      <w:r>
        <w:rPr>
          <w:rFonts w:hint="eastAsia" w:ascii="仿宋" w:hAnsi="仿宋" w:eastAsia="仿宋" w:cs="仿宋"/>
          <w:color w:val="000000"/>
          <w:sz w:val="32"/>
          <w:szCs w:val="32"/>
        </w:rPr>
        <w:t>日常洗漱、卫生用品等费用）。</w:t>
      </w:r>
    </w:p>
    <w:p>
      <w:pPr>
        <w:spacing w:line="560" w:lineRule="exact"/>
        <w:ind w:firstLine="660"/>
        <w:jc w:val="both"/>
        <w:rPr>
          <w:rFonts w:hint="eastAsia" w:ascii="仿宋" w:hAnsi="仿宋" w:eastAsia="仿宋" w:cs="仿宋"/>
          <w:sz w:val="32"/>
          <w:szCs w:val="32"/>
        </w:rPr>
      </w:pPr>
      <w:r>
        <w:rPr>
          <w:rFonts w:hint="eastAsia" w:ascii="仿宋" w:hAnsi="仿宋" w:eastAsia="仿宋" w:cs="仿宋"/>
          <w:color w:val="000000"/>
          <w:sz w:val="32"/>
          <w:szCs w:val="32"/>
        </w:rPr>
        <w:t>民办学校住宿成本主要包括学生住宿用房屋及配套设施、设备折旧费，水电费，防暑、取暖费，修缮、维护费和宿舍管理人员经费等，不含经营性的设施和人员的各项费用支出。</w:t>
      </w:r>
    </w:p>
    <w:p>
      <w:pPr>
        <w:spacing w:line="560" w:lineRule="exact"/>
        <w:ind w:firstLine="660"/>
        <w:jc w:val="both"/>
        <w:rPr>
          <w:rFonts w:hint="eastAsia" w:ascii="仿宋" w:hAnsi="仿宋" w:eastAsia="仿宋" w:cs="仿宋"/>
          <w:sz w:val="32"/>
          <w:szCs w:val="32"/>
        </w:rPr>
      </w:pPr>
      <w:r>
        <w:rPr>
          <w:rFonts w:hint="eastAsia" w:ascii="仿宋" w:hAnsi="仿宋" w:eastAsia="仿宋" w:cs="仿宋"/>
          <w:color w:val="000000"/>
          <w:sz w:val="32"/>
          <w:szCs w:val="32"/>
        </w:rPr>
        <w:t>民办学校住宿费成本要单独核算。民办学校办学成本和住宿成本不得重复计算。在核定民办学校收费标准时，有社会捐助和政府资助（补贴）的，应从办学成本和住宿成本中扣除。</w:t>
      </w:r>
    </w:p>
    <w:p>
      <w:pPr>
        <w:spacing w:line="560" w:lineRule="exact"/>
        <w:ind w:firstLine="660"/>
        <w:jc w:val="both"/>
        <w:rPr>
          <w:rFonts w:hint="eastAsia" w:ascii="仿宋" w:hAnsi="仿宋" w:eastAsia="仿宋" w:cs="仿宋"/>
          <w:sz w:val="32"/>
          <w:szCs w:val="32"/>
        </w:rPr>
      </w:pPr>
      <w:r>
        <w:rPr>
          <w:rFonts w:hint="eastAsia" w:ascii="仿宋" w:hAnsi="仿宋" w:eastAsia="仿宋" w:cs="仿宋"/>
          <w:color w:val="000000"/>
          <w:sz w:val="32"/>
          <w:szCs w:val="32"/>
        </w:rPr>
        <w:t>核定幼儿园人均保教费、住宿费成本时，应统筹考虑幼儿出勤率及寒暑假期间的费用支出等合理因素。</w:t>
      </w:r>
    </w:p>
    <w:p>
      <w:pPr>
        <w:spacing w:line="560" w:lineRule="exact"/>
        <w:ind w:firstLine="660"/>
        <w:jc w:val="both"/>
        <w:rPr>
          <w:rFonts w:hint="eastAsia" w:ascii="仿宋" w:hAnsi="仿宋" w:eastAsia="仿宋" w:cs="仿宋"/>
          <w:sz w:val="32"/>
          <w:szCs w:val="32"/>
        </w:rPr>
      </w:pPr>
      <w:r>
        <w:rPr>
          <w:rFonts w:hint="eastAsia" w:ascii="仿宋" w:hAnsi="仿宋" w:eastAsia="仿宋" w:cs="仿宋"/>
          <w:color w:val="000000"/>
          <w:sz w:val="32"/>
          <w:szCs w:val="32"/>
        </w:rPr>
        <w:t>实行政府定价或政府指导价的民办学校学费（培训费、保教费）、住宿费项目，在制定或调整收费标准时，人民政府价格主管部门应按照《中华人民共和国价格法》和《政府制定价格成本监审办法》等相关规定，对办学成本进行监审或调查。</w:t>
      </w:r>
    </w:p>
    <w:p>
      <w:pPr>
        <w:spacing w:line="560" w:lineRule="exact"/>
        <w:ind w:firstLine="660"/>
        <w:jc w:val="both"/>
        <w:rPr>
          <w:rFonts w:hint="eastAsia" w:ascii="仿宋" w:hAnsi="仿宋" w:eastAsia="仿宋" w:cs="仿宋"/>
          <w:sz w:val="32"/>
          <w:szCs w:val="32"/>
        </w:rPr>
        <w:sectPr>
          <w:footerReference r:id="rId14" w:type="default"/>
          <w:type w:val="continuous"/>
          <w:pgSz w:w="11840" w:h="16820"/>
          <w:pgMar w:top="1440" w:right="1380" w:bottom="1440" w:left="1360" w:header="0" w:footer="1360" w:gutter="0"/>
          <w:cols w:space="720" w:num="1"/>
        </w:sectPr>
      </w:pPr>
      <w:r>
        <w:rPr>
          <w:rFonts w:hint="eastAsia" w:ascii="仿宋" w:hAnsi="仿宋" w:eastAsia="仿宋" w:cs="仿宋"/>
          <w:color w:val="000000"/>
          <w:sz w:val="32"/>
          <w:szCs w:val="32"/>
        </w:rPr>
        <w:t>第八条 民办学校学费、住宿费收费标准要保持相对稳定，原则上调整间隔不少于3年。民办学校在制定和调整实行自主定价的学历教育学费、住宿费收费标准时，应认真如实做好成本核算（测算），通过座谈、问卷、学校网站公开征求意见等形式征求师生和社会意见，履行集体研究和制发正式文件等程序。严禁通过虚列成本项目、虚报成本数据等虚假手段，虚高制定收费标准。在制定、调整收费标准时，应在招生报名前30日，将新制定或调整的收费标准向社会公示，同时将新制定或调整的收费标准文件按照下款规定抄送当地市、县价格主管部门和教育行政</w:t>
      </w:r>
    </w:p>
    <w:p>
      <w:pPr>
        <w:spacing w:line="560" w:lineRule="exact"/>
        <w:ind w:firstLine="0"/>
        <w:jc w:val="left"/>
        <w:rPr>
          <w:rFonts w:hint="eastAsia" w:ascii="仿宋" w:hAnsi="仿宋" w:eastAsia="仿宋" w:cs="仿宋"/>
          <w:sz w:val="32"/>
          <w:szCs w:val="32"/>
        </w:rPr>
      </w:pPr>
      <w:r>
        <w:rPr>
          <w:rFonts w:hint="eastAsia" w:ascii="仿宋" w:hAnsi="仿宋" w:eastAsia="仿宋" w:cs="仿宋"/>
          <w:color w:val="000000"/>
          <w:sz w:val="32"/>
          <w:szCs w:val="32"/>
        </w:rPr>
        <w:t>（人力资源社会保障行政）、市场监督管理部门。</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设区市及以上政府教育行政部门（人力资源社会保障行政部门）批准设立的民办学校，制定或调整学历教育学费、住宿费收费标准抄送设区市价格主管部门和教育行政（人力资源社会保障行政）、市场监督管理部门。县级政府教育行政部门（人力资源社会保障行政部门）批准设立的民办学校，制定或调整学历教育学费、住宿费收费标准抄送当地县级价格主管部门和教育行政（人力资源社会保障行政）、市场监督管理部门。</w:t>
      </w:r>
    </w:p>
    <w:p>
      <w:pPr>
        <w:spacing w:line="54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价格主管部门对发现或群众举报有虚列成本、虚高制定收费标准嫌疑的民办学校，可以直接或委托第三方机构对学校定价成本进行监审。对确实存在虚列成本、虚高制定收费标准的，责成学校予以改正。</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第九条 实行政府定价或政府指导价管理的收费项目，民办学校申请制定或调整收费标准应提交以下材料：</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（一）申请学校合法有效的资质（法人登记证、办学许可证等复印件）；</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（二）申请制定或调整教育收费标准的具体项目、收费标准方案及依据和理由；</w:t>
      </w:r>
    </w:p>
    <w:p>
      <w:pPr>
        <w:spacing w:line="560" w:lineRule="exact"/>
        <w:ind w:firstLine="640"/>
        <w:jc w:val="left"/>
        <w:rPr>
          <w:rFonts w:hint="eastAsia" w:ascii="仿宋" w:hAnsi="仿宋" w:eastAsia="仿宋" w:cs="仿宋"/>
          <w:sz w:val="32"/>
          <w:szCs w:val="32"/>
        </w:rPr>
      </w:pPr>
      <w:r>
        <w:rPr>
          <w:rFonts w:hint="eastAsia" w:ascii="仿宋" w:hAnsi="仿宋" w:eastAsia="仿宋" w:cs="仿宋"/>
          <w:color w:val="000000"/>
          <w:sz w:val="32"/>
          <w:szCs w:val="32"/>
        </w:rPr>
        <w:t>（三）近3年财务审计报告；</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（四）申请学校近年（一般为3年）办学成本核算材料（尚未招生未发生实际成本的，提交生均办学成本测算材料）；</w:t>
      </w:r>
    </w:p>
    <w:p>
      <w:pPr>
        <w:spacing w:line="560" w:lineRule="exact"/>
        <w:ind w:firstLine="640"/>
        <w:jc w:val="left"/>
        <w:rPr>
          <w:rFonts w:hint="eastAsia" w:ascii="仿宋" w:hAnsi="仿宋" w:eastAsia="仿宋" w:cs="仿宋"/>
          <w:sz w:val="32"/>
          <w:szCs w:val="32"/>
        </w:rPr>
        <w:sectPr>
          <w:footerReference r:id="rId15" w:type="default"/>
          <w:type w:val="continuous"/>
          <w:pgSz w:w="11860" w:h="16820"/>
          <w:pgMar w:top="1440" w:right="1380" w:bottom="1440" w:left="1420" w:header="0" w:footer="1400" w:gutter="0"/>
          <w:cols w:space="720" w:num="1"/>
        </w:sectPr>
      </w:pPr>
      <w:r>
        <w:rPr>
          <w:rFonts w:hint="eastAsia" w:ascii="仿宋" w:hAnsi="仿宋" w:eastAsia="仿宋" w:cs="仿宋"/>
          <w:color w:val="000000"/>
          <w:sz w:val="32"/>
          <w:szCs w:val="32"/>
        </w:rPr>
        <w:t>（五）政府价格主管部门要求提供的其他材料。</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学校及相关责任人要对所提供资料的真实性负责。</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第十条 民办高校、中等职业学校学历教育（含技工类学校学制教育）学费和住宿费按学年（或学期）收取，其他民办学校学历教育学费和住宿费按学期收取；民办学校非学历教育学费（培训费）和住宿费收费计费期由学校根据教学设计安排自主确定，国家（或省）和本办法另有规定的从其规定。学校不得跨学年或学期预收费。</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民办幼儿园收取的保教费、住宿费按月计算，由幼儿家长自愿选择按月或学期缴费。幼儿园可在月初或学期开始预收本月或本学期保教费、住宿费，月底或学期末按以下计算方法结算：当月幼儿实际在园时间（即出勤天数，全日制园不足1天的按1整天计算；半日制园半天为1个出勤日，不足半天的按1个整出勤日计算）为0天的不得收费；实际在园时间1-10天的，按月收费标准的50％收取；实际在园时间11天及以上的按整月计收。因幼儿园停课（不含法定节日及周六、日休息）导致幼儿实际在园天数不足1个月的，按实际在园天数收取（1个月按22个工作日计算核定日保教费）。</w:t>
      </w:r>
    </w:p>
    <w:p>
      <w:pPr>
        <w:spacing w:line="560" w:lineRule="exact"/>
        <w:ind w:firstLine="640"/>
        <w:jc w:val="both"/>
        <w:rPr>
          <w:rFonts w:hint="eastAsia" w:ascii="仿宋" w:hAnsi="仿宋" w:eastAsia="仿宋" w:cs="仿宋"/>
          <w:sz w:val="32"/>
          <w:szCs w:val="32"/>
        </w:rPr>
        <w:sectPr>
          <w:footerReference r:id="rId16" w:type="default"/>
          <w:type w:val="continuous"/>
          <w:pgSz w:w="11820" w:h="16820"/>
          <w:pgMar w:top="1440" w:right="1400" w:bottom="1440" w:left="1400" w:header="0" w:footer="1420" w:gutter="0"/>
          <w:cols w:space="720" w:num="1"/>
        </w:sectPr>
      </w:pPr>
      <w:r>
        <w:rPr>
          <w:rFonts w:hint="eastAsia" w:ascii="仿宋" w:hAnsi="仿宋" w:eastAsia="仿宋" w:cs="仿宋"/>
          <w:color w:val="000000"/>
          <w:sz w:val="32"/>
          <w:szCs w:val="32"/>
        </w:rPr>
        <w:t>民办幼儿园伙食费实行按天计算（当日在园不足1天，按整天计算）、按月收取、月初预收、月底或下月初据实结算的办法。幼儿园应保证伙食费全部用于幼儿膳食，不得营利，不得挤占、克扣和挪用。伙食费应采取单独核算（与教工伙食分开）的办法。幼儿园要建立收支明细账，按月向幼儿家长公布伙食费收支情</w:t>
      </w:r>
    </w:p>
    <w:p>
      <w:pPr>
        <w:spacing w:line="560" w:lineRule="exact"/>
        <w:ind w:firstLine="0"/>
        <w:jc w:val="left"/>
        <w:rPr>
          <w:rFonts w:hint="eastAsia" w:ascii="仿宋" w:hAnsi="仿宋" w:eastAsia="仿宋" w:cs="仿宋"/>
          <w:sz w:val="32"/>
          <w:szCs w:val="32"/>
        </w:rPr>
      </w:pPr>
      <w:r>
        <w:rPr>
          <w:rFonts w:hint="eastAsia" w:ascii="仿宋" w:hAnsi="仿宋" w:eastAsia="仿宋" w:cs="仿宋"/>
          <w:color w:val="000000"/>
          <w:sz w:val="32"/>
          <w:szCs w:val="32"/>
        </w:rPr>
        <w:t>况，盈亏转下月，幼儿退园时，在园期间伙食费总结算，多退少</w:t>
      </w:r>
    </w:p>
    <w:p>
      <w:pPr>
        <w:spacing w:line="560" w:lineRule="exact"/>
        <w:ind w:firstLine="0"/>
        <w:jc w:val="left"/>
        <w:rPr>
          <w:rFonts w:hint="eastAsia" w:ascii="仿宋" w:hAnsi="仿宋" w:eastAsia="仿宋" w:cs="仿宋"/>
          <w:sz w:val="32"/>
          <w:szCs w:val="32"/>
        </w:rPr>
      </w:pPr>
      <w:r>
        <w:rPr>
          <w:rFonts w:hint="eastAsia" w:ascii="仿宋" w:hAnsi="仿宋" w:eastAsia="仿宋" w:cs="仿宋"/>
          <w:color w:val="000000"/>
          <w:sz w:val="32"/>
          <w:szCs w:val="32"/>
        </w:rPr>
        <w:t>补。</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民办学校学费（含培训费、保教费）和住宿费标准调整应当从新学年开始执行，实行“新生新办法、老生老办法”。插班生按插入班级学生的学费、住宿费标准执行。</w:t>
      </w:r>
    </w:p>
    <w:p>
      <w:pPr>
        <w:spacing w:line="560" w:lineRule="exact"/>
        <w:ind w:firstLine="660"/>
        <w:jc w:val="both"/>
        <w:rPr>
          <w:rFonts w:hint="eastAsia" w:ascii="仿宋" w:hAnsi="仿宋" w:eastAsia="仿宋" w:cs="仿宋"/>
          <w:sz w:val="32"/>
          <w:szCs w:val="32"/>
        </w:rPr>
      </w:pPr>
      <w:r>
        <w:rPr>
          <w:rFonts w:hint="eastAsia" w:ascii="仿宋" w:hAnsi="仿宋" w:eastAsia="仿宋" w:cs="仿宋"/>
          <w:color w:val="000000"/>
          <w:sz w:val="32"/>
          <w:szCs w:val="32"/>
        </w:rPr>
        <w:t>第十一条 民办学校（不含幼儿园）学生缴纳学费（含培训时长1年及以上长期培训班培训费）、住宿费后，因故退（转）学或死亡，学校应根据学生在校时间，按月计退剩余的学费（培训费）和住宿费。学生在校时间，是指学校规定的报到（或开学）之日到学生提交转学、退学申请或死亡之日（因病请假、休学，在治疗期间死亡的，在校时间从报到或开学之日到申请病假或休学之日）的期间。在校时间不足1个月的按1个月计算。按学年收费的，每学年按10个月计算；按学期收费的，每学期按5个月计算。每学年（学期）开学前提出退学的，退还当年（学期）所缴全部学费、住宿费。按教育（人力资源社会保障）行政部门学籍管理规定休学的，复学后按所在班级学生的学费、住宿费标准实行多退少补。</w:t>
      </w:r>
    </w:p>
    <w:p>
      <w:pPr>
        <w:spacing w:line="560" w:lineRule="exact"/>
        <w:ind w:firstLine="620"/>
        <w:jc w:val="both"/>
        <w:rPr>
          <w:rFonts w:hint="eastAsia" w:ascii="仿宋" w:hAnsi="仿宋" w:eastAsia="仿宋" w:cs="仿宋"/>
          <w:sz w:val="32"/>
          <w:szCs w:val="32"/>
        </w:rPr>
        <w:sectPr>
          <w:footerReference r:id="rId17" w:type="default"/>
          <w:type w:val="continuous"/>
          <w:pgSz w:w="11820" w:h="16820"/>
          <w:pgMar w:top="1440" w:right="1380" w:bottom="1440" w:left="1360" w:header="0" w:footer="1420" w:gutter="0"/>
          <w:cols w:space="720" w:num="1"/>
        </w:sectPr>
      </w:pPr>
      <w:r>
        <w:rPr>
          <w:rFonts w:hint="eastAsia" w:ascii="仿宋" w:hAnsi="仿宋" w:eastAsia="仿宋" w:cs="仿宋"/>
          <w:color w:val="000000"/>
          <w:sz w:val="32"/>
          <w:szCs w:val="32"/>
        </w:rPr>
        <w:t>短期培训班（培训时长不足1年的培训班），学生提交退学申请时已培训课时占总课时1／3内（含1／3）的退还所缴培训费的70％，已培训课时占总课时1／3以上至1／2内（含1／2）的退还所缴培训费的50％，已培训课时超过总课时1／2的不退培训费。已培训课时是指自培训班开学始至学员提交退学申请时止已经</w:t>
      </w:r>
    </w:p>
    <w:p>
      <w:pPr>
        <w:spacing w:line="560" w:lineRule="exact"/>
        <w:ind w:firstLine="0"/>
        <w:jc w:val="both"/>
        <w:rPr>
          <w:rFonts w:hint="eastAsia" w:ascii="仿宋" w:hAnsi="仿宋" w:eastAsia="仿宋" w:cs="仿宋"/>
          <w:sz w:val="32"/>
          <w:szCs w:val="32"/>
        </w:rPr>
      </w:pPr>
      <w:r>
        <w:rPr>
          <w:rFonts w:hint="eastAsia" w:ascii="仿宋" w:hAnsi="仿宋" w:eastAsia="仿宋" w:cs="仿宋"/>
          <w:color w:val="000000"/>
          <w:sz w:val="32"/>
          <w:szCs w:val="32"/>
        </w:rPr>
        <w:t>开课的课时。开学前提出退学的，退还全部培训费。</w:t>
      </w:r>
    </w:p>
    <w:p>
      <w:pPr>
        <w:spacing w:line="560" w:lineRule="exact"/>
        <w:ind w:firstLine="660"/>
        <w:jc w:val="both"/>
        <w:rPr>
          <w:rFonts w:hint="eastAsia" w:ascii="仿宋" w:hAnsi="仿宋" w:eastAsia="仿宋" w:cs="仿宋"/>
          <w:sz w:val="32"/>
          <w:szCs w:val="32"/>
        </w:rPr>
      </w:pPr>
      <w:r>
        <w:rPr>
          <w:rFonts w:hint="eastAsia" w:ascii="仿宋" w:hAnsi="仿宋" w:eastAsia="仿宋" w:cs="仿宋"/>
          <w:color w:val="000000"/>
          <w:sz w:val="32"/>
          <w:szCs w:val="32"/>
        </w:rPr>
        <w:t>民办幼儿园保教费、住宿费退费以幼儿实际在园天数按照本办法第十条第二款规定扣除当月应缴费用后退还余额。</w:t>
      </w:r>
    </w:p>
    <w:p>
      <w:pPr>
        <w:spacing w:line="560" w:lineRule="exact"/>
        <w:ind w:firstLine="660"/>
        <w:jc w:val="both"/>
        <w:rPr>
          <w:rFonts w:hint="eastAsia" w:ascii="仿宋" w:hAnsi="仿宋" w:eastAsia="仿宋" w:cs="仿宋"/>
          <w:sz w:val="32"/>
          <w:szCs w:val="32"/>
        </w:rPr>
      </w:pPr>
      <w:r>
        <w:rPr>
          <w:rFonts w:hint="eastAsia" w:ascii="仿宋" w:hAnsi="仿宋" w:eastAsia="仿宋" w:cs="仿宋"/>
          <w:color w:val="000000"/>
          <w:sz w:val="32"/>
          <w:szCs w:val="32"/>
        </w:rPr>
        <w:t>学校违反有关规定，发布虚假招生广告（招生简章），致使学生上当受骗而要求退学的，学校退还学生所缴全部学费、住宿费及其他费用。</w:t>
      </w:r>
    </w:p>
    <w:p>
      <w:pPr>
        <w:spacing w:line="560" w:lineRule="exact"/>
        <w:ind w:firstLine="660"/>
        <w:jc w:val="both"/>
        <w:rPr>
          <w:rFonts w:hint="eastAsia" w:ascii="仿宋" w:hAnsi="仿宋" w:eastAsia="仿宋" w:cs="仿宋"/>
          <w:sz w:val="32"/>
          <w:szCs w:val="32"/>
        </w:rPr>
      </w:pPr>
      <w:r>
        <w:rPr>
          <w:rFonts w:hint="eastAsia" w:ascii="仿宋" w:hAnsi="仿宋" w:eastAsia="仿宋" w:cs="仿宋"/>
          <w:color w:val="000000"/>
          <w:sz w:val="32"/>
          <w:szCs w:val="32"/>
        </w:rPr>
        <w:t>学生缴纳的服务性收费、代收费，双方按照规定有协议的，按照协议执行。无协议的，已发生代购代办事项或已提供服务的，不退还相关费用（不含因学校违规发布虚假招生广告致使学生上当受骗而要求退学），应将代购实物交付学生（所缴费用有结余的，结余部分退还学生）；尚未发生代购代办行为或未提供服务的，学校应全部退还所缴费用。</w:t>
      </w:r>
    </w:p>
    <w:p>
      <w:pPr>
        <w:spacing w:line="560" w:lineRule="exact"/>
        <w:ind w:firstLine="660"/>
        <w:jc w:val="both"/>
        <w:rPr>
          <w:rFonts w:hint="eastAsia" w:ascii="仿宋" w:hAnsi="仿宋" w:eastAsia="仿宋" w:cs="仿宋"/>
          <w:sz w:val="32"/>
          <w:szCs w:val="32"/>
        </w:rPr>
      </w:pPr>
      <w:r>
        <w:rPr>
          <w:rFonts w:hint="eastAsia" w:ascii="仿宋" w:hAnsi="仿宋" w:eastAsia="仿宋" w:cs="仿宋"/>
          <w:color w:val="000000"/>
          <w:sz w:val="32"/>
          <w:szCs w:val="32"/>
        </w:rPr>
        <w:t>义务教育阶段和高中学科类校外培训（非营利性）收费的退费，按现行政策执行。</w:t>
      </w:r>
    </w:p>
    <w:p>
      <w:pPr>
        <w:spacing w:line="560" w:lineRule="exact"/>
        <w:ind w:firstLine="660"/>
        <w:jc w:val="both"/>
        <w:rPr>
          <w:rFonts w:hint="eastAsia" w:ascii="仿宋" w:hAnsi="仿宋" w:eastAsia="仿宋" w:cs="仿宋"/>
          <w:sz w:val="32"/>
          <w:szCs w:val="32"/>
        </w:rPr>
      </w:pPr>
      <w:r>
        <w:rPr>
          <w:rFonts w:hint="eastAsia" w:ascii="仿宋" w:hAnsi="仿宋" w:eastAsia="仿宋" w:cs="仿宋"/>
          <w:color w:val="000000"/>
          <w:sz w:val="32"/>
          <w:szCs w:val="32"/>
        </w:rPr>
        <w:t>上述规定未包括的退费事项，由双方本着公平公正、互谅互让的原则协商解决。</w:t>
      </w:r>
    </w:p>
    <w:p>
      <w:pPr>
        <w:spacing w:line="560" w:lineRule="exact"/>
        <w:ind w:firstLine="660"/>
        <w:jc w:val="both"/>
        <w:rPr>
          <w:rFonts w:hint="eastAsia" w:ascii="仿宋" w:hAnsi="仿宋" w:eastAsia="仿宋" w:cs="仿宋"/>
          <w:sz w:val="32"/>
          <w:szCs w:val="32"/>
        </w:rPr>
        <w:sectPr>
          <w:footerReference r:id="rId18" w:type="default"/>
          <w:type w:val="continuous"/>
          <w:pgSz w:w="11820" w:h="16820"/>
          <w:pgMar w:top="1440" w:right="1400" w:bottom="1440" w:left="1360" w:header="0" w:footer="1420" w:gutter="0"/>
          <w:cols w:space="720" w:num="1"/>
        </w:sectPr>
      </w:pPr>
      <w:r>
        <w:rPr>
          <w:rFonts w:hint="eastAsia" w:ascii="仿宋" w:hAnsi="仿宋" w:eastAsia="仿宋" w:cs="仿宋"/>
          <w:color w:val="000000"/>
          <w:sz w:val="32"/>
          <w:szCs w:val="32"/>
        </w:rPr>
        <w:t>第十二条 实施学历教育的民办学校，应当建立学生资助、奖励制度，并按照不低于当地同级同类公办学校的标准，从学费收入中提取相应资金用于资助、奖励学生。可采用设立奖学金、学费减免和特殊困难补助等形式，保证学生不因家庭经济困难而失学。民办学校非学历教育，国家和省有奖励和救济政策规定的，从其规定。</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第十三条 民办学校要建立收费台帐，详细记录收费情况，切实规范收费行为。每年3月31日前，学历教育学校要如实填报《年度民办学校收费情况报告表》《年度民办学校基本情况登记表》《民办学校情况变更报告表》（见附表），加盖单位公章后，实行政府定价或政府指导价的学校按收费审批权限报价格主管、教育行政（人力资源社会保障行政）、市场监督管理部门；实行自主定价的学校按照本办法第八条第二款规定报学校所在地价格主管、教育行政（人力资源社会保障行政）、市场监督管理部门。非学历教育学校参照学历教育学校上述规定执行，国家和省另有规定的从其规定。</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第十四条 民办学校要严格落实教育收费公示制度。要通过学校网站及校内设立公示栏、公示牌、公示墙等形式，向社会和学生公示收费项目、收费标准、收费依据（收费标准原文或复印件）、投诉电话等相关内容。义务教育阶段民办学校收费标准应和学校获得的生均公用经费补助一并公开。</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民办学校招生简章应写明学校性质、办学条件、收费项目、收费标准和文件依据等。民办学校对贫困学生有学费减免规定和其他救助办法的应在招生简章中明示。</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政府部门制定的民办学校收费标准文件，应按照国家政府信息公开的有关规定进行公开。</w:t>
      </w:r>
    </w:p>
    <w:p>
      <w:pPr>
        <w:spacing w:line="560" w:lineRule="exact"/>
        <w:ind w:firstLine="640"/>
        <w:jc w:val="both"/>
        <w:rPr>
          <w:rFonts w:hint="eastAsia" w:ascii="仿宋" w:hAnsi="仿宋" w:eastAsia="仿宋" w:cs="仿宋"/>
          <w:sz w:val="32"/>
          <w:szCs w:val="32"/>
        </w:rPr>
        <w:sectPr>
          <w:footerReference r:id="rId19" w:type="default"/>
          <w:type w:val="continuous"/>
          <w:pgSz w:w="11820" w:h="16820"/>
          <w:pgMar w:top="1440" w:right="1380" w:bottom="1440" w:left="1360" w:header="0" w:footer="1380" w:gutter="0"/>
          <w:cols w:space="720" w:num="1"/>
        </w:sectPr>
      </w:pPr>
      <w:r>
        <w:rPr>
          <w:rFonts w:hint="eastAsia" w:ascii="仿宋" w:hAnsi="仿宋" w:eastAsia="仿宋" w:cs="仿宋"/>
          <w:color w:val="000000"/>
          <w:sz w:val="32"/>
          <w:szCs w:val="32"/>
        </w:rPr>
        <w:t>第十五条 民办学校要按照有关会计制度的要求，建立健全财务管理和会计核算制度，实行成本核算，科学计算办学成本。</w:t>
      </w:r>
    </w:p>
    <w:p>
      <w:pPr>
        <w:spacing w:line="640" w:lineRule="exact"/>
        <w:ind w:firstLine="640"/>
        <w:jc w:val="left"/>
        <w:rPr>
          <w:rFonts w:hint="eastAsia" w:ascii="仿宋" w:hAnsi="仿宋" w:eastAsia="仿宋" w:cs="仿宋"/>
          <w:sz w:val="32"/>
          <w:szCs w:val="32"/>
        </w:rPr>
      </w:pPr>
      <w:r>
        <w:rPr>
          <w:rFonts w:hint="eastAsia" w:ascii="仿宋" w:hAnsi="仿宋" w:eastAsia="仿宋" w:cs="仿宋"/>
          <w:color w:val="000000"/>
          <w:sz w:val="32"/>
          <w:szCs w:val="32"/>
        </w:rPr>
        <w:t>民办学校接受政府管理部门监督检查时，要如实提供所需帐</w:t>
      </w:r>
    </w:p>
    <w:p>
      <w:pPr>
        <w:spacing w:line="560" w:lineRule="exact"/>
        <w:ind w:firstLine="0"/>
        <w:jc w:val="left"/>
        <w:rPr>
          <w:rFonts w:hint="eastAsia" w:ascii="仿宋" w:hAnsi="仿宋" w:eastAsia="仿宋" w:cs="仿宋"/>
          <w:sz w:val="32"/>
          <w:szCs w:val="32"/>
        </w:rPr>
      </w:pPr>
      <w:r>
        <w:rPr>
          <w:rFonts w:hint="eastAsia" w:ascii="仿宋" w:hAnsi="仿宋" w:eastAsia="仿宋" w:cs="仿宋"/>
          <w:color w:val="000000"/>
          <w:sz w:val="32"/>
          <w:szCs w:val="32"/>
        </w:rPr>
        <w:t>簿、票据、财务会计报告及其他资料。</w:t>
      </w:r>
    </w:p>
    <w:p>
      <w:pPr>
        <w:spacing w:line="560" w:lineRule="exact"/>
        <w:ind w:firstLine="640"/>
        <w:jc w:val="left"/>
        <w:rPr>
          <w:rFonts w:hint="eastAsia" w:ascii="仿宋" w:hAnsi="仿宋" w:eastAsia="仿宋" w:cs="仿宋"/>
          <w:sz w:val="32"/>
          <w:szCs w:val="32"/>
        </w:rPr>
      </w:pPr>
      <w:r>
        <w:rPr>
          <w:rFonts w:hint="eastAsia" w:ascii="仿宋" w:hAnsi="仿宋" w:eastAsia="仿宋" w:cs="仿宋"/>
          <w:color w:val="000000"/>
          <w:sz w:val="32"/>
          <w:szCs w:val="32"/>
        </w:rPr>
        <w:t>民办学校收费票据的使用和管理，依照税务部门规定执行。</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第十六条 各级价格主管部门和教育行政、人力资源社会保障行政、市场监督管理部门，应依照部门职责加强对民办学校收费的管理和监督，引导学校建立健全收费管理制度，自觉执行政府制定的教育收费政策。对群众举报或发现的违反国家法律、法规和政策乱收费的行为，要依据《中华人民共和国价格法》《中华人民共和国民办教育促进法》等法律法规依法查处。</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第十七条 民办学校取得的合法收费收入应主要用于教学活动、改善办学条件和保障教职工待遇，任何单位和部门不得截留、平调。</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任何组织和个人都不得违反法律、法规向民办学校收取费用。</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第十八条 本办法由省发展改革委、省教育厅、省人力资源社会保障厅、省市场监管局按各自职责负责解释。</w:t>
      </w:r>
    </w:p>
    <w:p>
      <w:pPr>
        <w:spacing w:line="560" w:lineRule="exact"/>
        <w:ind w:firstLine="640"/>
        <w:jc w:val="both"/>
        <w:rPr>
          <w:rFonts w:hint="eastAsia" w:ascii="仿宋" w:hAnsi="仿宋" w:eastAsia="仿宋" w:cs="仿宋"/>
          <w:sz w:val="32"/>
          <w:szCs w:val="32"/>
        </w:rPr>
      </w:pPr>
      <w:r>
        <w:rPr>
          <w:rFonts w:hint="eastAsia" w:ascii="仿宋" w:hAnsi="仿宋" w:eastAsia="仿宋" w:cs="仿宋"/>
          <w:color w:val="000000"/>
          <w:sz w:val="32"/>
          <w:szCs w:val="32"/>
        </w:rPr>
        <w:t>第十九条 本办法自发布之日起执行，有效期5年。原河北省物价局等三部门《关于进一步扩大民办学校收费自主权加强事中事后监管的通知》（冀价行费〔2018〕55号）同时废止。</w:t>
      </w:r>
    </w:p>
    <w:p>
      <w:pPr>
        <w:spacing w:after="500" w:line="560" w:lineRule="exact"/>
        <w:ind w:firstLine="640"/>
        <w:jc w:val="left"/>
        <w:rPr>
          <w:rFonts w:hint="eastAsia" w:ascii="仿宋" w:hAnsi="仿宋" w:eastAsia="仿宋" w:cs="仿宋"/>
          <w:sz w:val="32"/>
          <w:szCs w:val="32"/>
        </w:rPr>
      </w:pPr>
      <w:r>
        <w:rPr>
          <w:rFonts w:hint="eastAsia" w:ascii="仿宋" w:hAnsi="仿宋" w:eastAsia="仿宋" w:cs="仿宋"/>
          <w:color w:val="000000"/>
          <w:sz w:val="32"/>
          <w:szCs w:val="32"/>
        </w:rPr>
        <w:t>各地可根据本地实际情况制定实施细则。</w:t>
      </w:r>
    </w:p>
    <w:p>
      <w:pPr>
        <w:spacing w:line="560" w:lineRule="exact"/>
        <w:ind w:firstLine="640"/>
        <w:jc w:val="left"/>
        <w:rPr>
          <w:rFonts w:hint="eastAsia" w:ascii="仿宋" w:hAnsi="仿宋" w:eastAsia="仿宋" w:cs="仿宋"/>
          <w:sz w:val="22"/>
          <w:szCs w:val="24"/>
        </w:rPr>
        <w:sectPr>
          <w:footerReference r:id="rId20" w:type="default"/>
          <w:type w:val="continuous"/>
          <w:pgSz w:w="11940" w:h="16820"/>
          <w:pgMar w:top="1440" w:right="720" w:bottom="1440" w:left="1360" w:header="0" w:footer="1420" w:gutter="0"/>
          <w:cols w:space="720" w:num="1"/>
        </w:sectPr>
      </w:pPr>
      <w:r>
        <w:rPr>
          <w:rFonts w:hint="eastAsia" w:ascii="仿宋" w:hAnsi="仿宋" w:eastAsia="仿宋" w:cs="仿宋"/>
          <w:color w:val="000000"/>
          <w:sz w:val="32"/>
          <w:szCs w:val="24"/>
        </w:rPr>
        <w:t>附表：1．年度民办学校收费情况报告表</w:t>
      </w:r>
    </w:p>
    <w:p>
      <w:pPr>
        <w:spacing w:after="60" w:line="440" w:lineRule="exact"/>
        <w:ind w:firstLine="0"/>
        <w:jc w:val="left"/>
        <w:rPr>
          <w:rFonts w:hint="eastAsia" w:ascii="仿宋" w:hAnsi="仿宋" w:eastAsia="仿宋" w:cs="仿宋"/>
          <w:sz w:val="22"/>
          <w:szCs w:val="24"/>
        </w:rPr>
      </w:pPr>
      <w:r>
        <w:rPr>
          <w:rFonts w:hint="eastAsia" w:ascii="仿宋" w:hAnsi="仿宋" w:eastAsia="仿宋" w:cs="仿宋"/>
          <w:color w:val="000000"/>
          <w:sz w:val="32"/>
          <w:szCs w:val="24"/>
        </w:rPr>
        <w:t>2．年度民办学校基本情况登记表</w:t>
      </w:r>
    </w:p>
    <w:p>
      <w:pPr>
        <w:spacing w:line="440" w:lineRule="exact"/>
        <w:ind w:firstLine="0"/>
        <w:jc w:val="left"/>
        <w:rPr>
          <w:rFonts w:hint="eastAsia" w:ascii="仿宋" w:hAnsi="仿宋" w:eastAsia="仿宋" w:cs="仿宋"/>
          <w:sz w:val="22"/>
          <w:szCs w:val="24"/>
        </w:rPr>
        <w:sectPr>
          <w:footerReference r:id="rId21" w:type="default"/>
          <w:type w:val="continuous"/>
          <w:pgSz w:w="11860" w:h="16820"/>
          <w:pgMar w:top="1440" w:right="1800" w:bottom="1440" w:left="1800" w:header="0" w:footer="1420" w:gutter="0"/>
          <w:cols w:space="720" w:num="1"/>
        </w:sectPr>
      </w:pPr>
      <w:r>
        <w:rPr>
          <w:rFonts w:hint="eastAsia" w:ascii="仿宋" w:hAnsi="仿宋" w:eastAsia="仿宋" w:cs="仿宋"/>
          <w:color w:val="000000"/>
          <w:sz w:val="32"/>
          <w:szCs w:val="24"/>
        </w:rPr>
        <w:t>3．民办学校情况变更报告表</w:t>
      </w:r>
    </w:p>
    <w:p>
      <w:pPr>
        <w:spacing w:line="480" w:lineRule="exact"/>
        <w:ind w:firstLine="420"/>
        <w:jc w:val="left"/>
      </w:pPr>
      <w:r>
        <w:rPr>
          <w:rFonts w:hint="eastAsia" w:ascii="宋体" w:hAnsi="宋体" w:eastAsia="宋体"/>
          <w:color w:val="000000"/>
          <w:sz w:val="32"/>
        </w:rPr>
        <w:t>附表1</w:t>
      </w:r>
    </w:p>
    <w:p>
      <w:pPr>
        <w:spacing w:after="60" w:line="640" w:lineRule="exact"/>
        <w:ind w:firstLine="5300"/>
        <w:jc w:val="both"/>
      </w:pPr>
      <w:r>
        <w:rPr>
          <w:rFonts w:hint="eastAsia" w:ascii="宋体" w:hAnsi="宋体" w:eastAsia="宋体"/>
          <w:color w:val="000000"/>
          <w:sz w:val="44"/>
        </w:rPr>
        <w:t>年度民办学校收费情况报告表</w:t>
      </w:r>
    </w:p>
    <w:p>
      <w:pPr>
        <w:spacing w:line="480" w:lineRule="exact"/>
        <w:ind w:firstLine="420"/>
        <w:jc w:val="both"/>
      </w:pPr>
      <w:r>
        <w:rPr>
          <w:rFonts w:hint="eastAsia" w:ascii="宋体" w:hAnsi="宋体" w:eastAsia="宋体"/>
          <w:color w:val="000000"/>
          <w:sz w:val="32"/>
        </w:rPr>
        <w:t>单位名称（盖章）                            单位：万元</w:t>
      </w:r>
    </w:p>
    <w:tbl>
      <w:tblPr>
        <w:tblStyle w:val="4"/>
        <w:tblW w:w="13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703"/>
        <w:gridCol w:w="1654"/>
        <w:gridCol w:w="1654"/>
        <w:gridCol w:w="2582"/>
        <w:gridCol w:w="1654"/>
        <w:gridCol w:w="165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0" w:hRule="atLeast"/>
        </w:trPr>
        <w:tc>
          <w:tcPr>
            <w:tcW w:w="2680" w:type="dxa"/>
            <w:vAlign w:val="center"/>
          </w:tcPr>
          <w:p>
            <w:pPr>
              <w:spacing w:line="384" w:lineRule="exact"/>
              <w:ind w:left="220" w:firstLine="0"/>
              <w:jc w:val="both"/>
            </w:pPr>
            <w:r>
              <w:rPr>
                <w:rFonts w:hint="eastAsia" w:ascii="宋体" w:hAnsi="宋体" w:eastAsia="宋体"/>
                <w:color w:val="000000"/>
                <w:sz w:val="26"/>
              </w:rPr>
              <w:t>收费项目</w:t>
            </w:r>
          </w:p>
        </w:tc>
        <w:tc>
          <w:tcPr>
            <w:tcW w:w="1640" w:type="dxa"/>
            <w:vAlign w:val="center"/>
          </w:tcPr>
          <w:p>
            <w:pPr>
              <w:spacing w:line="390" w:lineRule="exact"/>
              <w:jc w:val="center"/>
            </w:pPr>
            <w:r>
              <w:rPr>
                <w:rFonts w:hint="eastAsia" w:ascii="宋体" w:hAnsi="宋体" w:eastAsia="宋体"/>
                <w:color w:val="000000"/>
                <w:sz w:val="26"/>
              </w:rPr>
              <w:t>应收标准</w:t>
            </w:r>
          </w:p>
        </w:tc>
        <w:tc>
          <w:tcPr>
            <w:tcW w:w="1640" w:type="dxa"/>
            <w:vAlign w:val="center"/>
          </w:tcPr>
          <w:p>
            <w:pPr>
              <w:spacing w:line="390" w:lineRule="exact"/>
              <w:jc w:val="center"/>
            </w:pPr>
            <w:r>
              <w:rPr>
                <w:rFonts w:hint="eastAsia" w:ascii="宋体" w:hAnsi="宋体" w:eastAsia="宋体"/>
                <w:color w:val="000000"/>
                <w:sz w:val="26"/>
              </w:rPr>
              <w:t>实收标准</w:t>
            </w:r>
          </w:p>
        </w:tc>
        <w:tc>
          <w:tcPr>
            <w:tcW w:w="2560" w:type="dxa"/>
            <w:vAlign w:val="center"/>
          </w:tcPr>
          <w:p>
            <w:pPr>
              <w:spacing w:line="285" w:lineRule="exact"/>
              <w:jc w:val="center"/>
            </w:pPr>
            <w:r>
              <w:rPr>
                <w:rFonts w:hint="eastAsia" w:ascii="宋体" w:hAnsi="宋体" w:eastAsia="宋体"/>
                <w:color w:val="000000"/>
                <w:sz w:val="19"/>
              </w:rPr>
              <w:t>批准机关及文号</w:t>
            </w:r>
          </w:p>
        </w:tc>
        <w:tc>
          <w:tcPr>
            <w:tcW w:w="1640" w:type="dxa"/>
            <w:vAlign w:val="center"/>
          </w:tcPr>
          <w:p>
            <w:pPr>
              <w:spacing w:line="390" w:lineRule="exact"/>
              <w:jc w:val="center"/>
            </w:pPr>
            <w:r>
              <w:rPr>
                <w:rFonts w:hint="eastAsia" w:ascii="宋体" w:hAnsi="宋体" w:eastAsia="宋体"/>
                <w:color w:val="000000"/>
                <w:sz w:val="26"/>
              </w:rPr>
              <w:t>收费金额</w:t>
            </w:r>
          </w:p>
        </w:tc>
        <w:tc>
          <w:tcPr>
            <w:tcW w:w="1640" w:type="dxa"/>
            <w:vAlign w:val="center"/>
          </w:tcPr>
          <w:p>
            <w:pPr>
              <w:spacing w:line="390" w:lineRule="exact"/>
              <w:jc w:val="center"/>
            </w:pPr>
            <w:r>
              <w:rPr>
                <w:rFonts w:hint="eastAsia" w:ascii="宋体" w:hAnsi="宋体" w:eastAsia="宋体"/>
                <w:color w:val="000000"/>
                <w:sz w:val="26"/>
              </w:rPr>
              <w:t>支出金额</w:t>
            </w:r>
          </w:p>
        </w:tc>
        <w:tc>
          <w:tcPr>
            <w:tcW w:w="2000" w:type="dxa"/>
            <w:vAlign w:val="center"/>
          </w:tcPr>
          <w:p>
            <w:pPr>
              <w:spacing w:line="384" w:lineRule="exact"/>
              <w:ind w:left="240" w:firstLine="0"/>
              <w:jc w:val="both"/>
            </w:pPr>
            <w:r>
              <w:rPr>
                <w:rFonts w:hint="eastAsia" w:ascii="宋体" w:hAnsi="宋体" w:eastAsia="宋体"/>
                <w:color w:val="000000"/>
                <w:sz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0" w:hRule="atLeast"/>
        </w:trPr>
        <w:tc>
          <w:tcPr>
            <w:tcW w:w="2680" w:type="dxa"/>
            <w:vAlign w:val="center"/>
          </w:tcPr>
          <w:p/>
        </w:tc>
        <w:tc>
          <w:tcPr>
            <w:tcW w:w="1640" w:type="dxa"/>
            <w:vAlign w:val="center"/>
          </w:tcPr>
          <w:p/>
        </w:tc>
        <w:tc>
          <w:tcPr>
            <w:tcW w:w="1640" w:type="dxa"/>
            <w:vAlign w:val="center"/>
          </w:tcPr>
          <w:p/>
        </w:tc>
        <w:tc>
          <w:tcPr>
            <w:tcW w:w="2560" w:type="dxa"/>
            <w:vAlign w:val="center"/>
          </w:tcPr>
          <w:p/>
        </w:tc>
        <w:tc>
          <w:tcPr>
            <w:tcW w:w="1640" w:type="dxa"/>
            <w:vAlign w:val="center"/>
          </w:tcPr>
          <w:p/>
        </w:tc>
        <w:tc>
          <w:tcPr>
            <w:tcW w:w="1640" w:type="dxa"/>
            <w:vAlign w:val="center"/>
          </w:tcPr>
          <w:p/>
        </w:tc>
        <w:tc>
          <w:tcPr>
            <w:tcW w:w="20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0" w:hRule="atLeast"/>
        </w:trPr>
        <w:tc>
          <w:tcPr>
            <w:tcW w:w="2680" w:type="dxa"/>
            <w:vAlign w:val="center"/>
          </w:tcPr>
          <w:p/>
        </w:tc>
        <w:tc>
          <w:tcPr>
            <w:tcW w:w="1640" w:type="dxa"/>
            <w:vAlign w:val="center"/>
          </w:tcPr>
          <w:p/>
        </w:tc>
        <w:tc>
          <w:tcPr>
            <w:tcW w:w="1640" w:type="dxa"/>
            <w:vAlign w:val="center"/>
          </w:tcPr>
          <w:p/>
        </w:tc>
        <w:tc>
          <w:tcPr>
            <w:tcW w:w="2560" w:type="dxa"/>
            <w:vAlign w:val="center"/>
          </w:tcPr>
          <w:p/>
        </w:tc>
        <w:tc>
          <w:tcPr>
            <w:tcW w:w="1640" w:type="dxa"/>
            <w:vAlign w:val="center"/>
          </w:tcPr>
          <w:p/>
        </w:tc>
        <w:tc>
          <w:tcPr>
            <w:tcW w:w="1640" w:type="dxa"/>
            <w:vAlign w:val="center"/>
          </w:tcPr>
          <w:p/>
        </w:tc>
        <w:tc>
          <w:tcPr>
            <w:tcW w:w="20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0" w:hRule="atLeast"/>
        </w:trPr>
        <w:tc>
          <w:tcPr>
            <w:tcW w:w="2680" w:type="dxa"/>
            <w:vAlign w:val="center"/>
          </w:tcPr>
          <w:p/>
        </w:tc>
        <w:tc>
          <w:tcPr>
            <w:tcW w:w="1640" w:type="dxa"/>
            <w:vAlign w:val="center"/>
          </w:tcPr>
          <w:p/>
        </w:tc>
        <w:tc>
          <w:tcPr>
            <w:tcW w:w="1640" w:type="dxa"/>
            <w:vAlign w:val="center"/>
          </w:tcPr>
          <w:p/>
        </w:tc>
        <w:tc>
          <w:tcPr>
            <w:tcW w:w="2560" w:type="dxa"/>
            <w:vAlign w:val="center"/>
          </w:tcPr>
          <w:p/>
        </w:tc>
        <w:tc>
          <w:tcPr>
            <w:tcW w:w="1640" w:type="dxa"/>
            <w:vAlign w:val="center"/>
          </w:tcPr>
          <w:p/>
        </w:tc>
        <w:tc>
          <w:tcPr>
            <w:tcW w:w="1640" w:type="dxa"/>
            <w:vAlign w:val="center"/>
          </w:tcPr>
          <w:p/>
        </w:tc>
        <w:tc>
          <w:tcPr>
            <w:tcW w:w="20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0" w:hRule="atLeast"/>
        </w:trPr>
        <w:tc>
          <w:tcPr>
            <w:tcW w:w="2680" w:type="dxa"/>
            <w:vAlign w:val="center"/>
          </w:tcPr>
          <w:p/>
        </w:tc>
        <w:tc>
          <w:tcPr>
            <w:tcW w:w="1640" w:type="dxa"/>
            <w:vAlign w:val="center"/>
          </w:tcPr>
          <w:p/>
        </w:tc>
        <w:tc>
          <w:tcPr>
            <w:tcW w:w="1640" w:type="dxa"/>
            <w:vAlign w:val="center"/>
          </w:tcPr>
          <w:p/>
        </w:tc>
        <w:tc>
          <w:tcPr>
            <w:tcW w:w="2560" w:type="dxa"/>
            <w:vAlign w:val="center"/>
          </w:tcPr>
          <w:p/>
        </w:tc>
        <w:tc>
          <w:tcPr>
            <w:tcW w:w="1640" w:type="dxa"/>
            <w:vAlign w:val="center"/>
          </w:tcPr>
          <w:p/>
        </w:tc>
        <w:tc>
          <w:tcPr>
            <w:tcW w:w="1640" w:type="dxa"/>
            <w:vAlign w:val="center"/>
          </w:tcPr>
          <w:p/>
        </w:tc>
        <w:tc>
          <w:tcPr>
            <w:tcW w:w="20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0" w:hRule="atLeast"/>
        </w:trPr>
        <w:tc>
          <w:tcPr>
            <w:tcW w:w="2680" w:type="dxa"/>
            <w:vAlign w:val="center"/>
          </w:tcPr>
          <w:p/>
        </w:tc>
        <w:tc>
          <w:tcPr>
            <w:tcW w:w="1640" w:type="dxa"/>
            <w:vAlign w:val="center"/>
          </w:tcPr>
          <w:p/>
        </w:tc>
        <w:tc>
          <w:tcPr>
            <w:tcW w:w="1640" w:type="dxa"/>
            <w:vAlign w:val="center"/>
          </w:tcPr>
          <w:p/>
        </w:tc>
        <w:tc>
          <w:tcPr>
            <w:tcW w:w="2560" w:type="dxa"/>
            <w:vAlign w:val="center"/>
          </w:tcPr>
          <w:p/>
        </w:tc>
        <w:tc>
          <w:tcPr>
            <w:tcW w:w="1640" w:type="dxa"/>
            <w:vAlign w:val="center"/>
          </w:tcPr>
          <w:p/>
        </w:tc>
        <w:tc>
          <w:tcPr>
            <w:tcW w:w="1640" w:type="dxa"/>
            <w:vAlign w:val="center"/>
          </w:tcPr>
          <w:p/>
        </w:tc>
        <w:tc>
          <w:tcPr>
            <w:tcW w:w="20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0" w:hRule="atLeast"/>
        </w:trPr>
        <w:tc>
          <w:tcPr>
            <w:tcW w:w="2680" w:type="dxa"/>
            <w:vAlign w:val="center"/>
          </w:tcPr>
          <w:p/>
        </w:tc>
        <w:tc>
          <w:tcPr>
            <w:tcW w:w="1640" w:type="dxa"/>
            <w:vAlign w:val="center"/>
          </w:tcPr>
          <w:p/>
        </w:tc>
        <w:tc>
          <w:tcPr>
            <w:tcW w:w="1640" w:type="dxa"/>
            <w:vAlign w:val="center"/>
          </w:tcPr>
          <w:p/>
        </w:tc>
        <w:tc>
          <w:tcPr>
            <w:tcW w:w="2560" w:type="dxa"/>
            <w:vAlign w:val="center"/>
          </w:tcPr>
          <w:p/>
        </w:tc>
        <w:tc>
          <w:tcPr>
            <w:tcW w:w="1640" w:type="dxa"/>
            <w:vAlign w:val="center"/>
          </w:tcPr>
          <w:p/>
        </w:tc>
        <w:tc>
          <w:tcPr>
            <w:tcW w:w="1640" w:type="dxa"/>
            <w:vAlign w:val="center"/>
          </w:tcPr>
          <w:p/>
        </w:tc>
        <w:tc>
          <w:tcPr>
            <w:tcW w:w="20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0" w:hRule="atLeast"/>
        </w:trPr>
        <w:tc>
          <w:tcPr>
            <w:tcW w:w="2680" w:type="dxa"/>
            <w:vAlign w:val="center"/>
          </w:tcPr>
          <w:p/>
        </w:tc>
        <w:tc>
          <w:tcPr>
            <w:tcW w:w="1640" w:type="dxa"/>
            <w:vAlign w:val="center"/>
          </w:tcPr>
          <w:p/>
        </w:tc>
        <w:tc>
          <w:tcPr>
            <w:tcW w:w="1640" w:type="dxa"/>
            <w:vAlign w:val="center"/>
          </w:tcPr>
          <w:p/>
        </w:tc>
        <w:tc>
          <w:tcPr>
            <w:tcW w:w="2560" w:type="dxa"/>
            <w:vAlign w:val="center"/>
          </w:tcPr>
          <w:p/>
        </w:tc>
        <w:tc>
          <w:tcPr>
            <w:tcW w:w="1640" w:type="dxa"/>
            <w:vAlign w:val="center"/>
          </w:tcPr>
          <w:p/>
        </w:tc>
        <w:tc>
          <w:tcPr>
            <w:tcW w:w="1640" w:type="dxa"/>
            <w:vAlign w:val="center"/>
          </w:tcPr>
          <w:p/>
        </w:tc>
        <w:tc>
          <w:tcPr>
            <w:tcW w:w="20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0" w:hRule="atLeast"/>
        </w:trPr>
        <w:tc>
          <w:tcPr>
            <w:tcW w:w="8520" w:type="dxa"/>
            <w:gridSpan w:val="4"/>
            <w:vAlign w:val="center"/>
          </w:tcPr>
          <w:p>
            <w:pPr>
              <w:spacing w:line="390" w:lineRule="exact"/>
              <w:ind w:left="220" w:firstLine="0"/>
              <w:jc w:val="left"/>
            </w:pPr>
            <w:r>
              <w:rPr>
                <w:rFonts w:hint="eastAsia" w:ascii="宋体" w:hAnsi="宋体" w:eastAsia="宋体"/>
                <w:color w:val="000000"/>
                <w:sz w:val="26"/>
              </w:rPr>
              <w:t>合计</w:t>
            </w:r>
          </w:p>
        </w:tc>
        <w:tc>
          <w:tcPr>
            <w:tcW w:w="1640" w:type="dxa"/>
            <w:vAlign w:val="center"/>
          </w:tcPr>
          <w:p/>
        </w:tc>
        <w:tc>
          <w:tcPr>
            <w:tcW w:w="1640" w:type="dxa"/>
            <w:vAlign w:val="center"/>
          </w:tcPr>
          <w:p/>
        </w:tc>
        <w:tc>
          <w:tcPr>
            <w:tcW w:w="2000" w:type="dxa"/>
            <w:vAlign w:val="center"/>
          </w:tcPr>
          <w:p/>
        </w:tc>
      </w:tr>
    </w:tbl>
    <w:p>
      <w:pPr>
        <w:spacing w:line="360" w:lineRule="exact"/>
        <w:ind w:firstLine="420"/>
        <w:jc w:val="left"/>
        <w:sectPr>
          <w:footerReference r:id="rId22" w:type="default"/>
          <w:type w:val="continuous"/>
          <w:pgSz w:w="16820" w:h="11900" w:orient="landscape"/>
          <w:pgMar w:top="1440" w:right="1360" w:bottom="1440" w:left="1280" w:header="0" w:footer="1420" w:gutter="0"/>
          <w:cols w:space="720" w:num="1"/>
        </w:sectPr>
      </w:pPr>
      <w:r>
        <w:rPr>
          <w:rFonts w:hint="eastAsia" w:ascii="宋体" w:hAnsi="宋体" w:eastAsia="宋体"/>
          <w:color w:val="000000"/>
          <w:sz w:val="24"/>
        </w:rPr>
        <w:t>注：“批准机关及文号”实行自主定价的填写学校文号，实行政府定价或政府指导价的填写批准机关文号。</w:t>
      </w:r>
    </w:p>
    <w:p>
      <w:pPr>
        <w:spacing w:after="560" w:line="380" w:lineRule="exact"/>
        <w:ind w:firstLine="0"/>
        <w:jc w:val="both"/>
      </w:pPr>
      <w:r>
        <w:rPr>
          <w:rFonts w:hint="eastAsia" w:ascii="宋体" w:hAnsi="宋体" w:eastAsia="宋体"/>
          <w:color w:val="000000"/>
          <w:sz w:val="32"/>
        </w:rPr>
        <w:t>附表2</w:t>
      </w:r>
    </w:p>
    <w:p>
      <w:pPr>
        <w:spacing w:line="520" w:lineRule="exact"/>
        <w:jc w:val="center"/>
        <w:sectPr>
          <w:type w:val="continuous"/>
          <w:pgSz w:w="11800" w:h="16820"/>
          <w:pgMar w:top="1440" w:right="1460" w:bottom="1440" w:left="1360" w:header="0" w:footer="1440" w:gutter="0"/>
          <w:cols w:space="720" w:num="1"/>
        </w:sectPr>
      </w:pPr>
      <w:r>
        <w:rPr>
          <w:rFonts w:hint="eastAsia" w:ascii="宋体" w:hAnsi="宋体" w:eastAsia="宋体"/>
          <w:color w:val="000000"/>
          <w:sz w:val="44"/>
        </w:rPr>
        <w:t>年度民办学校基本情况登记表</w:t>
      </w:r>
    </w:p>
    <w:p>
      <w:pPr>
        <w:spacing w:before="640" w:line="320" w:lineRule="exact"/>
        <w:ind w:firstLine="0"/>
        <w:jc w:val="left"/>
      </w:pPr>
      <w:r>
        <w:rPr>
          <w:rFonts w:hint="eastAsia" w:ascii="宋体" w:hAnsi="宋体" w:eastAsia="宋体"/>
          <w:color w:val="000000"/>
          <w:sz w:val="27"/>
        </w:rPr>
        <w:t>单位名称（盖章）：</w:t>
      </w:r>
    </w:p>
    <w:p>
      <w:pPr>
        <w:spacing w:line="1" w:lineRule="exact"/>
      </w:pPr>
      <w:r>
        <w:br w:type="column"/>
      </w:r>
    </w:p>
    <w:p>
      <w:pPr>
        <w:spacing w:before="620" w:line="340" w:lineRule="exact"/>
        <w:ind w:firstLine="0"/>
        <w:jc w:val="both"/>
        <w:sectPr>
          <w:type w:val="continuous"/>
          <w:pgSz w:w="11800" w:h="16820"/>
          <w:pgMar w:top="1440" w:right="1460" w:bottom="1440" w:left="1360" w:header="0" w:footer="1440" w:gutter="0"/>
          <w:cols w:equalWidth="0" w:num="2">
            <w:col w:w="2880" w:space="1920"/>
            <w:col w:w="2300"/>
          </w:cols>
        </w:sectPr>
      </w:pPr>
      <w:r>
        <w:rPr>
          <w:rFonts w:hint="eastAsia" w:ascii="宋体" w:hAnsi="宋体" w:eastAsia="宋体"/>
          <w:color w:val="000000"/>
          <w:sz w:val="32"/>
        </w:rPr>
        <w:t>填表日期：</w:t>
      </w:r>
    </w:p>
    <w:tbl>
      <w:tblPr>
        <w:tblStyle w:val="4"/>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200"/>
        <w:gridCol w:w="1877"/>
        <w:gridCol w:w="2200"/>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2180" w:type="dxa"/>
            <w:vAlign w:val="center"/>
          </w:tcPr>
          <w:p>
            <w:pPr>
              <w:spacing w:line="315" w:lineRule="exact"/>
              <w:jc w:val="center"/>
            </w:pPr>
            <w:r>
              <w:rPr>
                <w:rFonts w:hint="eastAsia" w:ascii="宋体" w:hAnsi="宋体" w:eastAsia="宋体"/>
                <w:color w:val="000000"/>
                <w:sz w:val="22"/>
              </w:rPr>
              <w:t>单位详细地址</w:t>
            </w:r>
          </w:p>
        </w:tc>
        <w:tc>
          <w:tcPr>
            <w:tcW w:w="658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0" w:hRule="atLeast"/>
        </w:trPr>
        <w:tc>
          <w:tcPr>
            <w:tcW w:w="2180" w:type="dxa"/>
            <w:vAlign w:val="center"/>
          </w:tcPr>
          <w:p>
            <w:pPr>
              <w:spacing w:line="330" w:lineRule="exact"/>
              <w:jc w:val="center"/>
            </w:pPr>
            <w:r>
              <w:rPr>
                <w:rFonts w:hint="eastAsia" w:ascii="宋体" w:hAnsi="宋体" w:eastAsia="宋体"/>
                <w:color w:val="000000"/>
                <w:sz w:val="22"/>
              </w:rPr>
              <w:t>主管部门</w:t>
            </w:r>
          </w:p>
        </w:tc>
        <w:tc>
          <w:tcPr>
            <w:tcW w:w="1860" w:type="dxa"/>
            <w:vAlign w:val="center"/>
          </w:tcPr>
          <w:p/>
        </w:tc>
        <w:tc>
          <w:tcPr>
            <w:tcW w:w="2180" w:type="dxa"/>
            <w:vAlign w:val="center"/>
          </w:tcPr>
          <w:p>
            <w:pPr>
              <w:spacing w:line="330" w:lineRule="exact"/>
              <w:jc w:val="center"/>
            </w:pPr>
            <w:r>
              <w:rPr>
                <w:rFonts w:hint="eastAsia" w:ascii="宋体" w:hAnsi="宋体" w:eastAsia="宋体"/>
                <w:color w:val="000000"/>
                <w:sz w:val="22"/>
              </w:rPr>
              <w:t>法人性质</w:t>
            </w:r>
          </w:p>
        </w:tc>
        <w:tc>
          <w:tcPr>
            <w:tcW w:w="254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0" w:hRule="atLeast"/>
        </w:trPr>
        <w:tc>
          <w:tcPr>
            <w:tcW w:w="2180" w:type="dxa"/>
            <w:vAlign w:val="center"/>
          </w:tcPr>
          <w:p>
            <w:pPr>
              <w:spacing w:line="315" w:lineRule="exact"/>
              <w:jc w:val="center"/>
            </w:pPr>
            <w:r>
              <w:rPr>
                <w:rFonts w:hint="eastAsia" w:ascii="宋体" w:hAnsi="宋体" w:eastAsia="宋体"/>
                <w:color w:val="000000"/>
                <w:sz w:val="22"/>
              </w:rPr>
              <w:t>所在市区县</w:t>
            </w:r>
          </w:p>
        </w:tc>
        <w:tc>
          <w:tcPr>
            <w:tcW w:w="1860" w:type="dxa"/>
            <w:vAlign w:val="center"/>
          </w:tcPr>
          <w:p/>
        </w:tc>
        <w:tc>
          <w:tcPr>
            <w:tcW w:w="2180" w:type="dxa"/>
            <w:vAlign w:val="top"/>
          </w:tcPr>
          <w:p>
            <w:pPr>
              <w:spacing w:before="196" w:line="253" w:lineRule="exact"/>
              <w:jc w:val="center"/>
            </w:pPr>
            <w:r>
              <w:rPr>
                <w:rFonts w:hint="eastAsia" w:ascii="宋体" w:hAnsi="宋体" w:eastAsia="宋体"/>
                <w:color w:val="000000"/>
                <w:sz w:val="22"/>
              </w:rPr>
              <w:t>统一社会</w:t>
            </w:r>
          </w:p>
          <w:p>
            <w:pPr>
              <w:spacing w:line="253" w:lineRule="exact"/>
              <w:jc w:val="center"/>
            </w:pPr>
            <w:r>
              <w:rPr>
                <w:rFonts w:hint="eastAsia" w:ascii="宋体" w:hAnsi="宋体" w:eastAsia="宋体"/>
                <w:color w:val="000000"/>
                <w:sz w:val="22"/>
              </w:rPr>
              <w:t>信用代码</w:t>
            </w:r>
          </w:p>
        </w:tc>
        <w:tc>
          <w:tcPr>
            <w:tcW w:w="254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0" w:hRule="atLeast"/>
        </w:trPr>
        <w:tc>
          <w:tcPr>
            <w:tcW w:w="2180" w:type="dxa"/>
            <w:vMerge w:val="restart"/>
            <w:vAlign w:val="center"/>
          </w:tcPr>
          <w:p>
            <w:pPr>
              <w:spacing w:before="817" w:line="300" w:lineRule="exact"/>
              <w:jc w:val="center"/>
            </w:pPr>
            <w:r>
              <w:rPr>
                <w:rFonts w:hint="eastAsia" w:ascii="宋体" w:hAnsi="宋体" w:eastAsia="宋体"/>
                <w:color w:val="000000"/>
                <w:sz w:val="21"/>
              </w:rPr>
              <w:t>学校举办人</w:t>
            </w:r>
          </w:p>
        </w:tc>
        <w:tc>
          <w:tcPr>
            <w:tcW w:w="1860" w:type="dxa"/>
            <w:vMerge w:val="restart"/>
            <w:vAlign w:val="center"/>
          </w:tcPr>
          <w:p/>
        </w:tc>
        <w:tc>
          <w:tcPr>
            <w:tcW w:w="2180" w:type="dxa"/>
            <w:vAlign w:val="center"/>
          </w:tcPr>
          <w:p>
            <w:pPr>
              <w:spacing w:line="330" w:lineRule="exact"/>
              <w:jc w:val="center"/>
            </w:pPr>
            <w:r>
              <w:rPr>
                <w:rFonts w:hint="eastAsia" w:ascii="宋体" w:hAnsi="宋体" w:eastAsia="宋体"/>
                <w:color w:val="000000"/>
                <w:sz w:val="22"/>
              </w:rPr>
              <w:t>固定电话</w:t>
            </w:r>
          </w:p>
        </w:tc>
        <w:tc>
          <w:tcPr>
            <w:tcW w:w="254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0" w:hRule="atLeast"/>
        </w:trPr>
        <w:tc>
          <w:tcPr>
            <w:tcW w:w="2180" w:type="dxa"/>
            <w:vMerge w:val="continue"/>
          </w:tcPr>
          <w:p/>
        </w:tc>
        <w:tc>
          <w:tcPr>
            <w:tcW w:w="1860" w:type="dxa"/>
            <w:vMerge w:val="continue"/>
          </w:tcPr>
          <w:p/>
        </w:tc>
        <w:tc>
          <w:tcPr>
            <w:tcW w:w="2180" w:type="dxa"/>
            <w:vAlign w:val="center"/>
          </w:tcPr>
          <w:p>
            <w:pPr>
              <w:spacing w:line="330" w:lineRule="exact"/>
              <w:jc w:val="center"/>
            </w:pPr>
            <w:r>
              <w:rPr>
                <w:rFonts w:hint="eastAsia" w:ascii="宋体" w:hAnsi="宋体" w:eastAsia="宋体"/>
                <w:color w:val="000000"/>
                <w:sz w:val="22"/>
              </w:rPr>
              <w:t>手</w:t>
            </w:r>
            <w:r>
              <w:rPr>
                <w:rFonts w:hint="eastAsia" w:ascii="宋体" w:hAnsi="宋体" w:eastAsia="宋体"/>
                <w:color w:val="000000"/>
                <w:sz w:val="22"/>
              </w:rPr>
              <w:tab/>
              <w:t>机</w:t>
            </w:r>
          </w:p>
        </w:tc>
        <w:tc>
          <w:tcPr>
            <w:tcW w:w="254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0" w:hRule="atLeast"/>
        </w:trPr>
        <w:tc>
          <w:tcPr>
            <w:tcW w:w="2180" w:type="dxa"/>
            <w:vMerge w:val="restart"/>
            <w:vAlign w:val="center"/>
          </w:tcPr>
          <w:p>
            <w:pPr>
              <w:spacing w:before="811" w:line="300" w:lineRule="exact"/>
              <w:jc w:val="center"/>
            </w:pPr>
            <w:r>
              <w:rPr>
                <w:rFonts w:hint="eastAsia" w:ascii="宋体" w:hAnsi="宋体" w:eastAsia="宋体"/>
                <w:color w:val="000000"/>
                <w:sz w:val="21"/>
              </w:rPr>
              <w:t>学校法定代表人</w:t>
            </w:r>
          </w:p>
        </w:tc>
        <w:tc>
          <w:tcPr>
            <w:tcW w:w="1860" w:type="dxa"/>
            <w:vMerge w:val="restart"/>
            <w:vAlign w:val="center"/>
          </w:tcPr>
          <w:p/>
        </w:tc>
        <w:tc>
          <w:tcPr>
            <w:tcW w:w="2180" w:type="dxa"/>
            <w:vAlign w:val="center"/>
          </w:tcPr>
          <w:p>
            <w:pPr>
              <w:spacing w:line="330" w:lineRule="exact"/>
              <w:jc w:val="center"/>
            </w:pPr>
            <w:r>
              <w:rPr>
                <w:rFonts w:hint="eastAsia" w:ascii="宋体" w:hAnsi="宋体" w:eastAsia="宋体"/>
                <w:color w:val="000000"/>
                <w:sz w:val="22"/>
              </w:rPr>
              <w:t>固定电话</w:t>
            </w:r>
          </w:p>
        </w:tc>
        <w:tc>
          <w:tcPr>
            <w:tcW w:w="254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0" w:hRule="atLeast"/>
        </w:trPr>
        <w:tc>
          <w:tcPr>
            <w:tcW w:w="2180" w:type="dxa"/>
            <w:vMerge w:val="continue"/>
          </w:tcPr>
          <w:p/>
        </w:tc>
        <w:tc>
          <w:tcPr>
            <w:tcW w:w="1860" w:type="dxa"/>
            <w:vMerge w:val="continue"/>
          </w:tcPr>
          <w:p/>
        </w:tc>
        <w:tc>
          <w:tcPr>
            <w:tcW w:w="2180" w:type="dxa"/>
            <w:vAlign w:val="center"/>
          </w:tcPr>
          <w:p>
            <w:pPr>
              <w:spacing w:line="330" w:lineRule="exact"/>
              <w:jc w:val="center"/>
            </w:pPr>
            <w:r>
              <w:rPr>
                <w:rFonts w:hint="eastAsia" w:ascii="宋体" w:hAnsi="宋体" w:eastAsia="宋体"/>
                <w:color w:val="000000"/>
                <w:sz w:val="22"/>
              </w:rPr>
              <w:t>手</w:t>
            </w:r>
            <w:r>
              <w:rPr>
                <w:rFonts w:hint="eastAsia" w:ascii="宋体" w:hAnsi="宋体" w:eastAsia="宋体"/>
                <w:color w:val="000000"/>
                <w:sz w:val="22"/>
              </w:rPr>
              <w:tab/>
              <w:t>机</w:t>
            </w:r>
          </w:p>
        </w:tc>
        <w:tc>
          <w:tcPr>
            <w:tcW w:w="254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0" w:hRule="atLeast"/>
        </w:trPr>
        <w:tc>
          <w:tcPr>
            <w:tcW w:w="2180" w:type="dxa"/>
            <w:vMerge w:val="restart"/>
            <w:vAlign w:val="center"/>
          </w:tcPr>
          <w:p>
            <w:pPr>
              <w:spacing w:before="792" w:line="300" w:lineRule="exact"/>
              <w:jc w:val="center"/>
            </w:pPr>
            <w:r>
              <w:rPr>
                <w:rFonts w:hint="eastAsia" w:ascii="宋体" w:hAnsi="宋体" w:eastAsia="宋体"/>
                <w:color w:val="000000"/>
                <w:sz w:val="21"/>
              </w:rPr>
              <w:t>学校联系人</w:t>
            </w:r>
          </w:p>
        </w:tc>
        <w:tc>
          <w:tcPr>
            <w:tcW w:w="1860" w:type="dxa"/>
            <w:vMerge w:val="restart"/>
            <w:vAlign w:val="center"/>
          </w:tcPr>
          <w:p/>
        </w:tc>
        <w:tc>
          <w:tcPr>
            <w:tcW w:w="2180" w:type="dxa"/>
            <w:vAlign w:val="center"/>
          </w:tcPr>
          <w:p>
            <w:pPr>
              <w:spacing w:line="330" w:lineRule="exact"/>
              <w:jc w:val="center"/>
            </w:pPr>
            <w:r>
              <w:rPr>
                <w:rFonts w:hint="eastAsia" w:ascii="宋体" w:hAnsi="宋体" w:eastAsia="宋体"/>
                <w:color w:val="000000"/>
                <w:sz w:val="22"/>
              </w:rPr>
              <w:t>固定电话</w:t>
            </w:r>
          </w:p>
        </w:tc>
        <w:tc>
          <w:tcPr>
            <w:tcW w:w="254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0" w:hRule="atLeast"/>
        </w:trPr>
        <w:tc>
          <w:tcPr>
            <w:tcW w:w="2180" w:type="dxa"/>
            <w:vMerge w:val="continue"/>
          </w:tcPr>
          <w:p/>
        </w:tc>
        <w:tc>
          <w:tcPr>
            <w:tcW w:w="1860" w:type="dxa"/>
            <w:vMerge w:val="continue"/>
          </w:tcPr>
          <w:p/>
        </w:tc>
        <w:tc>
          <w:tcPr>
            <w:tcW w:w="2180" w:type="dxa"/>
            <w:vAlign w:val="center"/>
          </w:tcPr>
          <w:p>
            <w:pPr>
              <w:spacing w:line="330" w:lineRule="exact"/>
              <w:jc w:val="center"/>
            </w:pPr>
            <w:r>
              <w:rPr>
                <w:rFonts w:hint="eastAsia" w:ascii="宋体" w:hAnsi="宋体" w:eastAsia="宋体"/>
                <w:color w:val="000000"/>
                <w:sz w:val="22"/>
              </w:rPr>
              <w:t>手</w:t>
            </w:r>
            <w:r>
              <w:rPr>
                <w:rFonts w:hint="eastAsia" w:ascii="宋体" w:hAnsi="宋体" w:eastAsia="宋体"/>
                <w:color w:val="000000"/>
                <w:sz w:val="22"/>
              </w:rPr>
              <w:tab/>
              <w:t>机</w:t>
            </w:r>
          </w:p>
        </w:tc>
        <w:tc>
          <w:tcPr>
            <w:tcW w:w="254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0" w:hRule="atLeast"/>
        </w:trPr>
        <w:tc>
          <w:tcPr>
            <w:tcW w:w="2180" w:type="dxa"/>
            <w:vAlign w:val="center"/>
          </w:tcPr>
          <w:p>
            <w:pPr>
              <w:spacing w:line="330" w:lineRule="exact"/>
              <w:jc w:val="center"/>
            </w:pPr>
            <w:r>
              <w:rPr>
                <w:rFonts w:hint="eastAsia" w:ascii="宋体" w:hAnsi="宋体" w:eastAsia="宋体"/>
                <w:color w:val="000000"/>
                <w:sz w:val="22"/>
              </w:rPr>
              <w:t>在职人数</w:t>
            </w:r>
          </w:p>
        </w:tc>
        <w:tc>
          <w:tcPr>
            <w:tcW w:w="1860" w:type="dxa"/>
            <w:vAlign w:val="center"/>
          </w:tcPr>
          <w:p/>
        </w:tc>
        <w:tc>
          <w:tcPr>
            <w:tcW w:w="2180" w:type="dxa"/>
            <w:vAlign w:val="center"/>
          </w:tcPr>
          <w:p>
            <w:pPr>
              <w:spacing w:line="330" w:lineRule="exact"/>
              <w:jc w:val="center"/>
            </w:pPr>
            <w:r>
              <w:rPr>
                <w:rFonts w:hint="eastAsia" w:ascii="宋体" w:hAnsi="宋体" w:eastAsia="宋体"/>
                <w:color w:val="000000"/>
                <w:sz w:val="22"/>
              </w:rPr>
              <w:t>邮政编码</w:t>
            </w:r>
          </w:p>
        </w:tc>
        <w:tc>
          <w:tcPr>
            <w:tcW w:w="2540" w:type="dxa"/>
            <w:vAlign w:val="center"/>
          </w:tcPr>
          <w:p/>
        </w:tc>
      </w:tr>
    </w:tbl>
    <w:p>
      <w:pPr>
        <w:spacing w:line="1" w:lineRule="exact"/>
        <w:sectPr>
          <w:footerReference r:id="rId23" w:type="default"/>
          <w:type w:val="continuous"/>
          <w:pgSz w:w="11800" w:h="16820"/>
          <w:pgMar w:top="1440" w:right="1460" w:bottom="1440" w:left="1360" w:header="0" w:footer="1440" w:gutter="0"/>
          <w:cols w:space="720" w:num="1"/>
        </w:sectPr>
      </w:pPr>
    </w:p>
    <w:tbl>
      <w:tblPr>
        <w:tblStyle w:val="4"/>
        <w:tblW w:w="894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290"/>
        <w:gridCol w:w="1865"/>
        <w:gridCol w:w="2210"/>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0" w:hRule="atLeast"/>
          <w:jc w:val="right"/>
        </w:trPr>
        <w:tc>
          <w:tcPr>
            <w:tcW w:w="2260" w:type="dxa"/>
            <w:vAlign w:val="center"/>
          </w:tcPr>
          <w:p>
            <w:pPr>
              <w:spacing w:line="330" w:lineRule="exact"/>
              <w:jc w:val="center"/>
            </w:pPr>
            <w:r>
              <w:rPr>
                <w:rFonts w:hint="eastAsia" w:ascii="宋体" w:hAnsi="宋体" w:eastAsia="宋体"/>
                <w:color w:val="000000"/>
                <w:sz w:val="22"/>
              </w:rPr>
              <w:t>办学范围</w:t>
            </w:r>
          </w:p>
        </w:tc>
        <w:tc>
          <w:tcPr>
            <w:tcW w:w="656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0" w:hRule="atLeast"/>
          <w:jc w:val="right"/>
        </w:trPr>
        <w:tc>
          <w:tcPr>
            <w:tcW w:w="2260" w:type="dxa"/>
            <w:vMerge w:val="restart"/>
            <w:vAlign w:val="top"/>
          </w:tcPr>
          <w:p>
            <w:pPr>
              <w:spacing w:before="1078" w:line="400" w:lineRule="exact"/>
              <w:jc w:val="center"/>
            </w:pPr>
            <w:r>
              <w:rPr>
                <w:rFonts w:hint="eastAsia" w:ascii="宋体" w:hAnsi="宋体" w:eastAsia="宋体"/>
                <w:color w:val="000000"/>
                <w:sz w:val="27"/>
              </w:rPr>
              <w:t>办学</w:t>
            </w:r>
          </w:p>
          <w:p>
            <w:pPr>
              <w:spacing w:line="416" w:lineRule="exact"/>
              <w:jc w:val="center"/>
            </w:pPr>
            <w:r>
              <w:rPr>
                <w:rFonts w:hint="eastAsia" w:ascii="宋体" w:hAnsi="宋体" w:eastAsia="宋体"/>
                <w:color w:val="000000"/>
                <w:sz w:val="27"/>
              </w:rPr>
              <w:t>层次</w:t>
            </w:r>
          </w:p>
        </w:tc>
        <w:tc>
          <w:tcPr>
            <w:tcW w:w="1840" w:type="dxa"/>
            <w:vAlign w:val="center"/>
          </w:tcPr>
          <w:p/>
        </w:tc>
        <w:tc>
          <w:tcPr>
            <w:tcW w:w="2180" w:type="dxa"/>
            <w:vAlign w:val="center"/>
          </w:tcPr>
          <w:p>
            <w:pPr>
              <w:spacing w:line="315" w:lineRule="exact"/>
              <w:jc w:val="center"/>
            </w:pPr>
            <w:r>
              <w:rPr>
                <w:rFonts w:hint="eastAsia" w:ascii="宋体" w:hAnsi="宋体" w:eastAsia="宋体"/>
                <w:color w:val="000000"/>
                <w:sz w:val="22"/>
              </w:rPr>
              <w:t>在校生人数</w:t>
            </w:r>
          </w:p>
        </w:tc>
        <w:tc>
          <w:tcPr>
            <w:tcW w:w="254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0" w:hRule="atLeast"/>
          <w:jc w:val="right"/>
        </w:trPr>
        <w:tc>
          <w:tcPr>
            <w:tcW w:w="2260" w:type="dxa"/>
            <w:vMerge w:val="continue"/>
          </w:tcPr>
          <w:p/>
        </w:tc>
        <w:tc>
          <w:tcPr>
            <w:tcW w:w="1840" w:type="dxa"/>
            <w:vAlign w:val="center"/>
          </w:tcPr>
          <w:p/>
        </w:tc>
        <w:tc>
          <w:tcPr>
            <w:tcW w:w="2180" w:type="dxa"/>
            <w:vAlign w:val="center"/>
          </w:tcPr>
          <w:p>
            <w:pPr>
              <w:spacing w:line="315" w:lineRule="exact"/>
              <w:jc w:val="center"/>
            </w:pPr>
            <w:r>
              <w:rPr>
                <w:rFonts w:hint="eastAsia" w:ascii="宋体" w:hAnsi="宋体" w:eastAsia="宋体"/>
                <w:color w:val="000000"/>
                <w:sz w:val="22"/>
              </w:rPr>
              <w:t>在校生人数</w:t>
            </w:r>
          </w:p>
        </w:tc>
        <w:tc>
          <w:tcPr>
            <w:tcW w:w="254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0" w:hRule="atLeast"/>
          <w:jc w:val="right"/>
        </w:trPr>
        <w:tc>
          <w:tcPr>
            <w:tcW w:w="2260" w:type="dxa"/>
            <w:vMerge w:val="continue"/>
          </w:tcPr>
          <w:p/>
        </w:tc>
        <w:tc>
          <w:tcPr>
            <w:tcW w:w="1840" w:type="dxa"/>
            <w:vAlign w:val="center"/>
          </w:tcPr>
          <w:p/>
        </w:tc>
        <w:tc>
          <w:tcPr>
            <w:tcW w:w="2180" w:type="dxa"/>
            <w:vAlign w:val="center"/>
          </w:tcPr>
          <w:p>
            <w:pPr>
              <w:spacing w:line="315" w:lineRule="exact"/>
              <w:jc w:val="center"/>
            </w:pPr>
            <w:r>
              <w:rPr>
                <w:rFonts w:hint="eastAsia" w:ascii="宋体" w:hAnsi="宋体" w:eastAsia="宋体"/>
                <w:color w:val="000000"/>
                <w:sz w:val="22"/>
              </w:rPr>
              <w:t>在校生人数</w:t>
            </w:r>
          </w:p>
        </w:tc>
        <w:tc>
          <w:tcPr>
            <w:tcW w:w="2540" w:type="dxa"/>
            <w:vAlign w:val="center"/>
          </w:tcPr>
          <w:p/>
        </w:tc>
      </w:tr>
    </w:tbl>
    <w:p>
      <w:pPr>
        <w:spacing w:after="60" w:line="460" w:lineRule="exact"/>
        <w:ind w:firstLine="560"/>
        <w:jc w:val="both"/>
      </w:pPr>
      <w:r>
        <w:rPr>
          <w:rFonts w:hint="eastAsia" w:ascii="宋体" w:hAnsi="宋体" w:eastAsia="宋体"/>
          <w:color w:val="000000"/>
          <w:sz w:val="28"/>
        </w:rPr>
        <w:t>备注：1．单位名称应填写单位全称。</w:t>
      </w:r>
    </w:p>
    <w:p>
      <w:pPr>
        <w:spacing w:line="400" w:lineRule="exact"/>
        <w:ind w:firstLine="980"/>
        <w:jc w:val="both"/>
        <w:sectPr>
          <w:footerReference r:id="rId24" w:type="default"/>
          <w:type w:val="continuous"/>
          <w:pgSz w:w="11860" w:h="16820"/>
          <w:pgMar w:top="1440" w:right="1440" w:bottom="1440" w:left="1440" w:header="0" w:footer="1420" w:gutter="0"/>
          <w:cols w:space="720" w:num="1"/>
        </w:sectPr>
      </w:pPr>
      <w:r>
        <w:rPr>
          <w:rFonts w:hint="eastAsia" w:ascii="宋体" w:hAnsi="宋体" w:eastAsia="宋体"/>
          <w:color w:val="000000"/>
          <w:sz w:val="24"/>
        </w:rPr>
        <w:t>2．法人性质分为：事业法人、民办非企业组织法人。</w:t>
      </w:r>
    </w:p>
    <w:p>
      <w:pPr>
        <w:spacing w:line="480" w:lineRule="exact"/>
        <w:ind w:firstLine="0"/>
        <w:jc w:val="both"/>
      </w:pPr>
      <w:r>
        <w:rPr>
          <w:rFonts w:hint="eastAsia" w:ascii="宋体" w:hAnsi="宋体" w:eastAsia="宋体"/>
          <w:color w:val="000000"/>
          <w:sz w:val="32"/>
        </w:rPr>
        <w:t>附表3</w:t>
      </w:r>
    </w:p>
    <w:p>
      <w:pPr>
        <w:spacing w:after="140" w:line="620" w:lineRule="exact"/>
        <w:jc w:val="center"/>
      </w:pPr>
      <w:r>
        <w:rPr>
          <w:rFonts w:hint="eastAsia" w:ascii="宋体" w:hAnsi="宋体" w:eastAsia="宋体"/>
          <w:color w:val="000000"/>
          <w:sz w:val="42"/>
        </w:rPr>
        <w:t>民办学校情况变更报告表</w:t>
      </w:r>
    </w:p>
    <w:p>
      <w:pPr>
        <w:spacing w:line="440" w:lineRule="exact"/>
        <w:ind w:firstLine="0"/>
        <w:jc w:val="left"/>
      </w:pPr>
      <w:r>
        <w:rPr>
          <w:rFonts w:hint="eastAsia" w:ascii="宋体" w:hAnsi="宋体" w:eastAsia="宋体"/>
          <w:color w:val="000000"/>
          <w:sz w:val="29"/>
        </w:rPr>
        <w:t>单位名称（盖章）</w:t>
      </w:r>
    </w:p>
    <w:tbl>
      <w:tblPr>
        <w:tblStyle w:val="4"/>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808"/>
        <w:gridCol w:w="3014"/>
        <w:gridCol w:w="1808"/>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60" w:hRule="atLeast"/>
        </w:trPr>
        <w:tc>
          <w:tcPr>
            <w:tcW w:w="1800" w:type="dxa"/>
            <w:vAlign w:val="center"/>
          </w:tcPr>
          <w:p>
            <w:pPr>
              <w:spacing w:line="390" w:lineRule="exact"/>
              <w:jc w:val="center"/>
            </w:pPr>
            <w:r>
              <w:rPr>
                <w:rFonts w:hint="eastAsia" w:ascii="宋体" w:hAnsi="宋体" w:eastAsia="宋体"/>
                <w:color w:val="000000"/>
                <w:sz w:val="26"/>
              </w:rPr>
              <w:t>单位名称</w:t>
            </w:r>
          </w:p>
        </w:tc>
        <w:tc>
          <w:tcPr>
            <w:tcW w:w="3000" w:type="dxa"/>
            <w:vAlign w:val="center"/>
          </w:tcPr>
          <w:p/>
        </w:tc>
        <w:tc>
          <w:tcPr>
            <w:tcW w:w="1800" w:type="dxa"/>
            <w:vAlign w:val="top"/>
          </w:tcPr>
          <w:p>
            <w:pPr>
              <w:spacing w:before="143" w:line="380" w:lineRule="exact"/>
              <w:jc w:val="center"/>
            </w:pPr>
            <w:r>
              <w:rPr>
                <w:rFonts w:hint="eastAsia" w:ascii="宋体" w:hAnsi="宋体" w:eastAsia="宋体"/>
                <w:color w:val="000000"/>
                <w:sz w:val="26"/>
              </w:rPr>
              <w:t>单位法定</w:t>
            </w:r>
          </w:p>
          <w:p>
            <w:pPr>
              <w:spacing w:line="380" w:lineRule="exact"/>
              <w:jc w:val="center"/>
            </w:pPr>
            <w:r>
              <w:rPr>
                <w:rFonts w:hint="eastAsia" w:ascii="宋体" w:hAnsi="宋体" w:eastAsia="宋体"/>
                <w:color w:val="000000"/>
                <w:sz w:val="26"/>
              </w:rPr>
              <w:t>代表人</w:t>
            </w:r>
          </w:p>
        </w:tc>
        <w:tc>
          <w:tcPr>
            <w:tcW w:w="22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60" w:hRule="atLeast"/>
        </w:trPr>
        <w:tc>
          <w:tcPr>
            <w:tcW w:w="1800" w:type="dxa"/>
            <w:vAlign w:val="center"/>
          </w:tcPr>
          <w:p>
            <w:pPr>
              <w:spacing w:line="390" w:lineRule="exact"/>
              <w:jc w:val="center"/>
            </w:pPr>
            <w:r>
              <w:rPr>
                <w:rFonts w:hint="eastAsia" w:ascii="宋体" w:hAnsi="宋体" w:eastAsia="宋体"/>
                <w:color w:val="000000"/>
                <w:sz w:val="26"/>
              </w:rPr>
              <w:t>法人性质</w:t>
            </w:r>
          </w:p>
        </w:tc>
        <w:tc>
          <w:tcPr>
            <w:tcW w:w="3000" w:type="dxa"/>
            <w:vAlign w:val="center"/>
          </w:tcPr>
          <w:p/>
        </w:tc>
        <w:tc>
          <w:tcPr>
            <w:tcW w:w="1800" w:type="dxa"/>
            <w:vAlign w:val="top"/>
          </w:tcPr>
          <w:p>
            <w:pPr>
              <w:spacing w:before="143" w:line="400" w:lineRule="exact"/>
              <w:jc w:val="center"/>
            </w:pPr>
            <w:r>
              <w:rPr>
                <w:rFonts w:hint="eastAsia" w:ascii="宋体" w:hAnsi="宋体" w:eastAsia="宋体"/>
                <w:color w:val="000000"/>
                <w:sz w:val="26"/>
              </w:rPr>
              <w:t>业务主管</w:t>
            </w:r>
          </w:p>
          <w:p>
            <w:pPr>
              <w:spacing w:line="382" w:lineRule="exact"/>
              <w:jc w:val="center"/>
            </w:pPr>
            <w:r>
              <w:rPr>
                <w:rFonts w:hint="eastAsia" w:ascii="宋体" w:hAnsi="宋体" w:eastAsia="宋体"/>
                <w:color w:val="000000"/>
                <w:sz w:val="26"/>
              </w:rPr>
              <w:t>部</w:t>
            </w:r>
            <w:r>
              <w:rPr>
                <w:rFonts w:hint="eastAsia" w:ascii="宋体" w:hAnsi="宋体" w:eastAsia="宋体"/>
                <w:color w:val="000000"/>
                <w:sz w:val="26"/>
              </w:rPr>
              <w:tab/>
              <w:t>门</w:t>
            </w:r>
          </w:p>
        </w:tc>
        <w:tc>
          <w:tcPr>
            <w:tcW w:w="22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60" w:hRule="atLeast"/>
        </w:trPr>
        <w:tc>
          <w:tcPr>
            <w:tcW w:w="1800" w:type="dxa"/>
            <w:vAlign w:val="center"/>
          </w:tcPr>
          <w:p>
            <w:pPr>
              <w:spacing w:line="315" w:lineRule="exact"/>
              <w:jc w:val="center"/>
            </w:pPr>
            <w:r>
              <w:rPr>
                <w:rFonts w:hint="eastAsia" w:ascii="宋体" w:hAnsi="宋体" w:eastAsia="宋体"/>
                <w:color w:val="000000"/>
                <w:sz w:val="21"/>
              </w:rPr>
              <w:t>单位负责人</w:t>
            </w:r>
          </w:p>
        </w:tc>
        <w:tc>
          <w:tcPr>
            <w:tcW w:w="3000" w:type="dxa"/>
            <w:vAlign w:val="center"/>
          </w:tcPr>
          <w:p/>
        </w:tc>
        <w:tc>
          <w:tcPr>
            <w:tcW w:w="1800" w:type="dxa"/>
            <w:vAlign w:val="center"/>
          </w:tcPr>
          <w:p>
            <w:pPr>
              <w:spacing w:line="390" w:lineRule="exact"/>
              <w:jc w:val="center"/>
            </w:pPr>
            <w:r>
              <w:rPr>
                <w:rFonts w:hint="eastAsia" w:ascii="宋体" w:hAnsi="宋体" w:eastAsia="宋体"/>
                <w:color w:val="000000"/>
                <w:sz w:val="26"/>
              </w:rPr>
              <w:t>联系电话</w:t>
            </w:r>
          </w:p>
        </w:tc>
        <w:tc>
          <w:tcPr>
            <w:tcW w:w="22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60" w:hRule="atLeast"/>
        </w:trPr>
        <w:tc>
          <w:tcPr>
            <w:tcW w:w="1800" w:type="dxa"/>
            <w:vAlign w:val="center"/>
          </w:tcPr>
          <w:p>
            <w:pPr>
              <w:spacing w:line="390" w:lineRule="exact"/>
              <w:jc w:val="center"/>
            </w:pPr>
            <w:r>
              <w:rPr>
                <w:rFonts w:hint="eastAsia" w:ascii="宋体" w:hAnsi="宋体" w:eastAsia="宋体"/>
                <w:color w:val="000000"/>
                <w:sz w:val="26"/>
              </w:rPr>
              <w:t>联系人</w:t>
            </w:r>
          </w:p>
        </w:tc>
        <w:tc>
          <w:tcPr>
            <w:tcW w:w="3000" w:type="dxa"/>
            <w:vAlign w:val="center"/>
          </w:tcPr>
          <w:p/>
        </w:tc>
        <w:tc>
          <w:tcPr>
            <w:tcW w:w="1800" w:type="dxa"/>
            <w:vAlign w:val="top"/>
          </w:tcPr>
          <w:p>
            <w:pPr>
              <w:spacing w:before="143" w:line="380" w:lineRule="exact"/>
              <w:jc w:val="center"/>
            </w:pPr>
            <w:r>
              <w:rPr>
                <w:rFonts w:hint="eastAsia" w:ascii="宋体" w:hAnsi="宋体" w:eastAsia="宋体"/>
                <w:color w:val="000000"/>
                <w:sz w:val="26"/>
              </w:rPr>
              <w:t>联系电话</w:t>
            </w:r>
          </w:p>
          <w:p>
            <w:pPr>
              <w:spacing w:line="380" w:lineRule="exact"/>
              <w:jc w:val="center"/>
            </w:pPr>
            <w:r>
              <w:rPr>
                <w:rFonts w:hint="eastAsia" w:ascii="宋体" w:hAnsi="宋体" w:eastAsia="宋体"/>
                <w:color w:val="000000"/>
                <w:sz w:val="26"/>
              </w:rPr>
              <w:t>手机</w:t>
            </w:r>
          </w:p>
        </w:tc>
        <w:tc>
          <w:tcPr>
            <w:tcW w:w="22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60" w:hRule="atLeast"/>
        </w:trPr>
        <w:tc>
          <w:tcPr>
            <w:tcW w:w="1800" w:type="dxa"/>
            <w:vAlign w:val="center"/>
          </w:tcPr>
          <w:p>
            <w:pPr>
              <w:spacing w:line="390" w:lineRule="exact"/>
              <w:jc w:val="center"/>
            </w:pPr>
            <w:r>
              <w:rPr>
                <w:rFonts w:hint="eastAsia" w:ascii="宋体" w:hAnsi="宋体" w:eastAsia="宋体"/>
                <w:color w:val="000000"/>
                <w:sz w:val="26"/>
              </w:rPr>
              <w:t>单位地址</w:t>
            </w:r>
          </w:p>
        </w:tc>
        <w:tc>
          <w:tcPr>
            <w:tcW w:w="3000" w:type="dxa"/>
            <w:vAlign w:val="center"/>
          </w:tcPr>
          <w:p/>
        </w:tc>
        <w:tc>
          <w:tcPr>
            <w:tcW w:w="1800" w:type="dxa"/>
            <w:vAlign w:val="center"/>
          </w:tcPr>
          <w:p>
            <w:pPr>
              <w:spacing w:line="390" w:lineRule="exact"/>
              <w:jc w:val="center"/>
            </w:pPr>
            <w:r>
              <w:rPr>
                <w:rFonts w:hint="eastAsia" w:ascii="宋体" w:hAnsi="宋体" w:eastAsia="宋体"/>
                <w:color w:val="000000"/>
                <w:sz w:val="26"/>
              </w:rPr>
              <w:t>邮政编码</w:t>
            </w:r>
          </w:p>
        </w:tc>
        <w:tc>
          <w:tcPr>
            <w:tcW w:w="22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20" w:hRule="atLeast"/>
        </w:trPr>
        <w:tc>
          <w:tcPr>
            <w:tcW w:w="1800" w:type="dxa"/>
            <w:vAlign w:val="top"/>
          </w:tcPr>
          <w:p>
            <w:pPr>
              <w:spacing w:before="173" w:line="400" w:lineRule="exact"/>
              <w:jc w:val="center"/>
            </w:pPr>
            <w:r>
              <w:rPr>
                <w:rFonts w:hint="eastAsia" w:ascii="宋体" w:hAnsi="宋体" w:eastAsia="宋体"/>
                <w:color w:val="000000"/>
                <w:sz w:val="28"/>
              </w:rPr>
              <w:t>报告事项（基本信息变</w:t>
            </w:r>
          </w:p>
          <w:p>
            <w:pPr>
              <w:spacing w:line="380" w:lineRule="exact"/>
              <w:jc w:val="center"/>
            </w:pPr>
            <w:r>
              <w:rPr>
                <w:rFonts w:hint="eastAsia" w:ascii="宋体" w:hAnsi="宋体" w:eastAsia="宋体"/>
                <w:color w:val="000000"/>
                <w:sz w:val="26"/>
              </w:rPr>
              <w:t>更）</w:t>
            </w:r>
          </w:p>
        </w:tc>
        <w:tc>
          <w:tcPr>
            <w:tcW w:w="7060" w:type="dxa"/>
            <w:gridSpan w:val="3"/>
            <w:vAlign w:val="top"/>
          </w:tcPr>
          <w:p>
            <w:pPr>
              <w:spacing w:before="366" w:line="400" w:lineRule="exact"/>
              <w:ind w:left="120" w:firstLine="142"/>
              <w:jc w:val="both"/>
            </w:pPr>
            <w:r>
              <w:rPr>
                <w:rFonts w:hint="eastAsia" w:ascii="宋体" w:hAnsi="宋体" w:eastAsia="宋体"/>
                <w:color w:val="000000"/>
                <w:sz w:val="24"/>
              </w:rPr>
              <w:t>1．□单位名称变更 2．□法定代表人变更 3．□单位地址变更4．□单位性质变更 5．□其他事项变更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60" w:hRule="atLeast"/>
        </w:trPr>
        <w:tc>
          <w:tcPr>
            <w:tcW w:w="1800" w:type="dxa"/>
            <w:vAlign w:val="top"/>
          </w:tcPr>
          <w:p>
            <w:pPr>
              <w:spacing w:before="407" w:line="380" w:lineRule="exact"/>
              <w:jc w:val="center"/>
            </w:pPr>
            <w:r>
              <w:rPr>
                <w:rFonts w:hint="eastAsia" w:ascii="宋体" w:hAnsi="宋体" w:eastAsia="宋体"/>
                <w:color w:val="000000"/>
                <w:sz w:val="26"/>
              </w:rPr>
              <w:t>变更基本</w:t>
            </w:r>
          </w:p>
          <w:p>
            <w:pPr>
              <w:spacing w:line="400" w:lineRule="exact"/>
              <w:jc w:val="center"/>
            </w:pPr>
            <w:r>
              <w:rPr>
                <w:rFonts w:hint="eastAsia" w:ascii="宋体" w:hAnsi="宋体" w:eastAsia="宋体"/>
                <w:color w:val="000000"/>
                <w:sz w:val="27"/>
              </w:rPr>
              <w:t>信息详情</w:t>
            </w:r>
          </w:p>
        </w:tc>
        <w:tc>
          <w:tcPr>
            <w:tcW w:w="706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20" w:hRule="atLeast"/>
        </w:trPr>
        <w:tc>
          <w:tcPr>
            <w:tcW w:w="1800" w:type="dxa"/>
            <w:vAlign w:val="top"/>
          </w:tcPr>
          <w:p>
            <w:pPr>
              <w:spacing w:before="478" w:line="380" w:lineRule="exact"/>
              <w:jc w:val="center"/>
            </w:pPr>
            <w:r>
              <w:rPr>
                <w:rFonts w:hint="eastAsia" w:ascii="宋体" w:hAnsi="宋体" w:eastAsia="宋体"/>
                <w:color w:val="000000"/>
                <w:sz w:val="28"/>
              </w:rPr>
              <w:t>报告事项（收费情况</w:t>
            </w:r>
          </w:p>
          <w:p>
            <w:pPr>
              <w:spacing w:line="400" w:lineRule="exact"/>
              <w:jc w:val="center"/>
            </w:pPr>
            <w:r>
              <w:rPr>
                <w:rFonts w:hint="eastAsia" w:ascii="宋体" w:hAnsi="宋体" w:eastAsia="宋体"/>
                <w:color w:val="000000"/>
                <w:sz w:val="27"/>
              </w:rPr>
              <w:t>变更）</w:t>
            </w:r>
          </w:p>
        </w:tc>
        <w:tc>
          <w:tcPr>
            <w:tcW w:w="7060" w:type="dxa"/>
            <w:gridSpan w:val="3"/>
            <w:vAlign w:val="top"/>
          </w:tcPr>
          <w:p>
            <w:pPr>
              <w:spacing w:before="506" w:line="323" w:lineRule="exact"/>
              <w:jc w:val="center"/>
            </w:pPr>
            <w:r>
              <w:rPr>
                <w:rFonts w:hint="eastAsia" w:ascii="宋体" w:hAnsi="宋体" w:eastAsia="宋体"/>
                <w:color w:val="000000"/>
                <w:sz w:val="21"/>
              </w:rPr>
              <w:t>1．□新增收费项目及标准</w:t>
            </w:r>
          </w:p>
          <w:p>
            <w:pPr>
              <w:spacing w:line="300" w:lineRule="exact"/>
              <w:jc w:val="center"/>
            </w:pPr>
            <w:r>
              <w:rPr>
                <w:rFonts w:hint="eastAsia" w:ascii="宋体" w:hAnsi="宋体" w:eastAsia="宋体"/>
                <w:color w:val="000000"/>
                <w:sz w:val="21"/>
              </w:rPr>
              <w:t>2．□取消收费项目及标准</w:t>
            </w:r>
          </w:p>
          <w:p>
            <w:pPr>
              <w:spacing w:line="307" w:lineRule="exact"/>
              <w:jc w:val="center"/>
            </w:pPr>
            <w:r>
              <w:rPr>
                <w:rFonts w:hint="eastAsia" w:ascii="宋体" w:hAnsi="宋体" w:eastAsia="宋体"/>
                <w:color w:val="000000"/>
                <w:sz w:val="21"/>
              </w:rPr>
              <w:t>3．□调整收费项目及标准</w:t>
            </w:r>
          </w:p>
        </w:tc>
      </w:tr>
    </w:tbl>
    <w:p>
      <w:pPr>
        <w:spacing w:line="1" w:lineRule="exact"/>
        <w:sectPr>
          <w:footerReference r:id="rId25" w:type="default"/>
          <w:type w:val="continuous"/>
          <w:pgSz w:w="11840" w:h="16820"/>
          <w:pgMar w:top="1440" w:right="1460" w:bottom="1440" w:left="1380" w:header="0" w:footer="1420" w:gutter="0"/>
          <w:cols w:space="720" w:num="1"/>
        </w:sectPr>
      </w:pP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774"/>
        <w:gridCol w:w="1584"/>
        <w:gridCol w:w="1584"/>
        <w:gridCol w:w="1585"/>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60" w:hRule="atLeast"/>
        </w:trPr>
        <w:tc>
          <w:tcPr>
            <w:tcW w:w="1860" w:type="dxa"/>
            <w:vMerge w:val="restart"/>
            <w:vAlign w:val="top"/>
          </w:tcPr>
          <w:p>
            <w:pPr>
              <w:spacing w:before="1513" w:line="360" w:lineRule="exact"/>
              <w:jc w:val="center"/>
            </w:pPr>
            <w:r>
              <w:rPr>
                <w:rFonts w:hint="eastAsia" w:ascii="宋体" w:hAnsi="宋体" w:eastAsia="宋体"/>
                <w:color w:val="000000"/>
                <w:sz w:val="27"/>
              </w:rPr>
              <w:t>变更收费</w:t>
            </w:r>
          </w:p>
          <w:p>
            <w:pPr>
              <w:spacing w:line="360" w:lineRule="exact"/>
              <w:jc w:val="center"/>
            </w:pPr>
            <w:r>
              <w:rPr>
                <w:rFonts w:hint="eastAsia" w:ascii="宋体" w:hAnsi="宋体" w:eastAsia="宋体"/>
                <w:color w:val="000000"/>
                <w:sz w:val="27"/>
              </w:rPr>
              <w:t>情况详情</w:t>
            </w:r>
          </w:p>
        </w:tc>
        <w:tc>
          <w:tcPr>
            <w:tcW w:w="1620" w:type="dxa"/>
            <w:vMerge w:val="restart"/>
            <w:vAlign w:val="center"/>
          </w:tcPr>
          <w:p>
            <w:pPr>
              <w:spacing w:before="640" w:line="340" w:lineRule="exact"/>
              <w:jc w:val="center"/>
            </w:pPr>
            <w:r>
              <w:rPr>
                <w:rFonts w:hint="eastAsia" w:ascii="宋体" w:hAnsi="宋体" w:eastAsia="宋体"/>
                <w:color w:val="000000"/>
                <w:sz w:val="26"/>
              </w:rPr>
              <w:t>收费项目</w:t>
            </w:r>
          </w:p>
        </w:tc>
        <w:tc>
          <w:tcPr>
            <w:tcW w:w="3240" w:type="dxa"/>
            <w:gridSpan w:val="2"/>
            <w:vAlign w:val="center"/>
          </w:tcPr>
          <w:p>
            <w:pPr>
              <w:spacing w:line="340" w:lineRule="exact"/>
              <w:jc w:val="center"/>
            </w:pPr>
            <w:r>
              <w:rPr>
                <w:rFonts w:hint="eastAsia" w:ascii="宋体" w:hAnsi="宋体" w:eastAsia="宋体"/>
                <w:color w:val="000000"/>
                <w:sz w:val="26"/>
              </w:rPr>
              <w:t>收费标准</w:t>
            </w:r>
          </w:p>
        </w:tc>
        <w:tc>
          <w:tcPr>
            <w:tcW w:w="2540" w:type="dxa"/>
            <w:vMerge w:val="restart"/>
            <w:vAlign w:val="center"/>
          </w:tcPr>
          <w:p>
            <w:pPr>
              <w:spacing w:before="650" w:line="340" w:lineRule="exact"/>
              <w:jc w:val="center"/>
            </w:pPr>
            <w:r>
              <w:rPr>
                <w:rFonts w:hint="eastAsia" w:ascii="宋体" w:hAnsi="宋体" w:eastAsia="宋体"/>
                <w:color w:val="000000"/>
                <w:sz w:val="26"/>
              </w:rPr>
              <w:t>收费依据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40" w:hRule="atLeast"/>
        </w:trPr>
        <w:tc>
          <w:tcPr>
            <w:tcW w:w="1860" w:type="dxa"/>
            <w:vMerge w:val="continue"/>
          </w:tcPr>
          <w:p/>
        </w:tc>
        <w:tc>
          <w:tcPr>
            <w:tcW w:w="1620" w:type="dxa"/>
            <w:vMerge w:val="continue"/>
          </w:tcPr>
          <w:p/>
        </w:tc>
        <w:tc>
          <w:tcPr>
            <w:tcW w:w="1620" w:type="dxa"/>
            <w:vAlign w:val="center"/>
          </w:tcPr>
          <w:p>
            <w:pPr>
              <w:spacing w:line="346" w:lineRule="exact"/>
              <w:jc w:val="center"/>
            </w:pPr>
            <w:r>
              <w:rPr>
                <w:rFonts w:hint="eastAsia" w:ascii="宋体" w:hAnsi="宋体" w:eastAsia="宋体"/>
                <w:color w:val="000000"/>
                <w:sz w:val="26"/>
              </w:rPr>
              <w:t>原定标准</w:t>
            </w:r>
          </w:p>
        </w:tc>
        <w:tc>
          <w:tcPr>
            <w:tcW w:w="1620" w:type="dxa"/>
            <w:vAlign w:val="center"/>
          </w:tcPr>
          <w:p>
            <w:pPr>
              <w:spacing w:line="346" w:lineRule="exact"/>
              <w:jc w:val="center"/>
            </w:pPr>
            <w:r>
              <w:rPr>
                <w:rFonts w:hint="eastAsia" w:ascii="宋体" w:hAnsi="宋体" w:eastAsia="宋体"/>
                <w:color w:val="000000"/>
                <w:sz w:val="26"/>
              </w:rPr>
              <w:t>现行标准</w:t>
            </w:r>
          </w:p>
        </w:tc>
        <w:tc>
          <w:tcPr>
            <w:tcW w:w="254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60" w:hRule="atLeast"/>
        </w:trPr>
        <w:tc>
          <w:tcPr>
            <w:tcW w:w="1860" w:type="dxa"/>
            <w:vMerge w:val="continue"/>
          </w:tcPr>
          <w:p/>
        </w:tc>
        <w:tc>
          <w:tcPr>
            <w:tcW w:w="1620" w:type="dxa"/>
            <w:vAlign w:val="center"/>
          </w:tcPr>
          <w:p/>
        </w:tc>
        <w:tc>
          <w:tcPr>
            <w:tcW w:w="3240" w:type="dxa"/>
            <w:gridSpan w:val="2"/>
            <w:vAlign w:val="center"/>
          </w:tcPr>
          <w:p/>
        </w:tc>
        <w:tc>
          <w:tcPr>
            <w:tcW w:w="254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80" w:hRule="atLeast"/>
        </w:trPr>
        <w:tc>
          <w:tcPr>
            <w:tcW w:w="1860" w:type="dxa"/>
            <w:vMerge w:val="continue"/>
          </w:tcPr>
          <w:p/>
        </w:tc>
        <w:tc>
          <w:tcPr>
            <w:tcW w:w="1620" w:type="dxa"/>
            <w:vAlign w:val="center"/>
          </w:tcPr>
          <w:p/>
        </w:tc>
        <w:tc>
          <w:tcPr>
            <w:tcW w:w="3240" w:type="dxa"/>
            <w:gridSpan w:val="2"/>
            <w:vAlign w:val="center"/>
          </w:tcPr>
          <w:p/>
        </w:tc>
        <w:tc>
          <w:tcPr>
            <w:tcW w:w="254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40" w:hRule="atLeast"/>
        </w:trPr>
        <w:tc>
          <w:tcPr>
            <w:tcW w:w="1860" w:type="dxa"/>
            <w:vAlign w:val="top"/>
          </w:tcPr>
          <w:p>
            <w:pPr>
              <w:spacing w:before="1141" w:line="340" w:lineRule="exact"/>
              <w:jc w:val="center"/>
            </w:pPr>
            <w:r>
              <w:rPr>
                <w:rFonts w:hint="eastAsia" w:ascii="宋体" w:hAnsi="宋体" w:eastAsia="宋体"/>
                <w:color w:val="000000"/>
                <w:sz w:val="26"/>
              </w:rPr>
              <w:t>报告单位</w:t>
            </w:r>
          </w:p>
          <w:p>
            <w:pPr>
              <w:spacing w:before="18" w:line="340" w:lineRule="exact"/>
              <w:jc w:val="center"/>
            </w:pPr>
            <w:r>
              <w:rPr>
                <w:rFonts w:hint="eastAsia" w:ascii="宋体" w:hAnsi="宋体" w:eastAsia="宋体"/>
                <w:color w:val="000000"/>
                <w:sz w:val="26"/>
              </w:rPr>
              <w:t>意见</w:t>
            </w:r>
          </w:p>
        </w:tc>
        <w:tc>
          <w:tcPr>
            <w:tcW w:w="7400" w:type="dxa"/>
            <w:gridSpan w:val="4"/>
            <w:vAlign w:val="center"/>
          </w:tcPr>
          <w:p>
            <w:pPr>
              <w:spacing w:before="1905" w:line="320" w:lineRule="exact"/>
              <w:jc w:val="center"/>
            </w:pPr>
            <w:r>
              <w:rPr>
                <w:rFonts w:hint="eastAsia" w:ascii="宋体" w:hAnsi="宋体" w:eastAsia="宋体"/>
                <w:color w:val="000000"/>
                <w:sz w:val="22"/>
              </w:rPr>
              <w:t>单位负责人：</w:t>
            </w:r>
            <w:r>
              <w:rPr>
                <w:rFonts w:hint="eastAsia" w:ascii="宋体" w:hAnsi="宋体" w:eastAsia="宋体"/>
                <w:color w:val="000000"/>
                <w:sz w:val="22"/>
              </w:rPr>
              <w:tab/>
              <w:t/>
            </w:r>
            <w:r>
              <w:rPr>
                <w:rFonts w:hint="eastAsia" w:ascii="宋体" w:hAnsi="宋体" w:eastAsia="宋体"/>
                <w:color w:val="000000"/>
                <w:sz w:val="22"/>
              </w:rPr>
              <w:tab/>
              <w:t/>
            </w:r>
            <w:r>
              <w:rPr>
                <w:rFonts w:hint="eastAsia" w:ascii="宋体" w:hAnsi="宋体" w:eastAsia="宋体"/>
                <w:color w:val="000000"/>
                <w:sz w:val="22"/>
              </w:rPr>
              <w:tab/>
              <w:t/>
            </w:r>
            <w:r>
              <w:rPr>
                <w:rFonts w:hint="eastAsia" w:ascii="宋体" w:hAnsi="宋体" w:eastAsia="宋体"/>
                <w:color w:val="000000"/>
                <w:sz w:val="22"/>
              </w:rPr>
              <w:tab/>
              <w:t/>
            </w:r>
            <w:r>
              <w:rPr>
                <w:rFonts w:hint="eastAsia" w:ascii="宋体" w:hAnsi="宋体" w:eastAsia="宋体"/>
                <w:color w:val="000000"/>
                <w:sz w:val="22"/>
              </w:rPr>
              <w:tab/>
              <w:t/>
            </w:r>
            <w:r>
              <w:rPr>
                <w:rFonts w:hint="eastAsia" w:ascii="宋体" w:hAnsi="宋体" w:eastAsia="宋体"/>
                <w:color w:val="000000"/>
                <w:sz w:val="22"/>
              </w:rPr>
              <w:tab/>
              <w:t>公章</w:t>
            </w:r>
          </w:p>
          <w:p>
            <w:pPr>
              <w:spacing w:before="446" w:line="420" w:lineRule="exact"/>
              <w:ind w:left="3880" w:firstLine="0"/>
              <w:jc w:val="both"/>
            </w:pPr>
            <w:r>
              <w:rPr>
                <w:rFonts w:hint="eastAsia" w:ascii="宋体" w:hAnsi="宋体" w:eastAsia="宋体"/>
                <w:color w:val="000000"/>
                <w:sz w:val="30"/>
              </w:rPr>
              <w:t>年</w:t>
            </w:r>
            <w:r>
              <w:rPr>
                <w:rFonts w:hint="eastAsia" w:ascii="宋体" w:hAnsi="宋体" w:eastAsia="宋体"/>
                <w:color w:val="000000"/>
                <w:sz w:val="30"/>
              </w:rPr>
              <w:tab/>
              <w:t>月</w:t>
            </w:r>
            <w:r>
              <w:rPr>
                <w:rFonts w:hint="eastAsia" w:ascii="宋体" w:hAnsi="宋体" w:eastAsia="宋体"/>
                <w:color w:val="000000"/>
                <w:sz w:val="30"/>
              </w:rPr>
              <w:tab/>
              <w:t>日</w:t>
            </w:r>
          </w:p>
        </w:tc>
      </w:tr>
    </w:tbl>
    <w:p>
      <w:pPr>
        <w:spacing w:line="360" w:lineRule="exact"/>
        <w:ind w:firstLine="580"/>
        <w:jc w:val="both"/>
      </w:pPr>
      <w:r>
        <w:rPr>
          <w:rFonts w:hint="eastAsia" w:ascii="宋体" w:hAnsi="宋体" w:eastAsia="宋体"/>
          <w:color w:val="000000"/>
          <w:sz w:val="26"/>
        </w:rPr>
        <w:t>说明：1．表格前5行内容填写变更前收费单位信息；2．收费依据请填写批准机关和文号，学校自定标准的填写学校文件号，并附文件复印件；</w:t>
      </w:r>
    </w:p>
    <w:p>
      <w:pPr>
        <w:spacing w:after="3760" w:line="360" w:lineRule="exact"/>
        <w:ind w:firstLine="0"/>
        <w:jc w:val="left"/>
      </w:pPr>
      <w:r>
        <w:rPr>
          <w:rFonts w:hint="eastAsia" w:ascii="宋体" w:hAnsi="宋体" w:eastAsia="宋体"/>
          <w:color w:val="000000"/>
          <w:sz w:val="26"/>
        </w:rPr>
        <w:t>3．基本信息变更，附相关批复复印件。</w:t>
      </w:r>
    </w:p>
    <w:p>
      <w:pPr>
        <w:spacing w:line="360" w:lineRule="exact"/>
        <w:ind w:firstLine="580"/>
        <w:jc w:val="left"/>
        <w:sectPr>
          <w:type w:val="continuous"/>
          <w:pgSz w:w="11860" w:h="16820"/>
          <w:pgMar w:top="1440" w:right="880" w:bottom="1440" w:left="1340" w:header="0" w:footer="1380" w:gutter="0"/>
          <w:cols w:space="720" w:num="1"/>
        </w:sectPr>
      </w:pPr>
      <w:r>
        <w:rPr>
          <w:rFonts w:hint="eastAsia" w:ascii="宋体" w:hAnsi="宋体" w:eastAsia="宋体"/>
          <w:color w:val="000000"/>
          <w:sz w:val="26"/>
        </w:rPr>
        <w:t>信息属性：主动公开</w:t>
      </w:r>
    </w:p>
    <w:p>
      <w:pPr>
        <w:spacing w:line="360" w:lineRule="exact"/>
        <w:ind w:left="480" w:firstLine="0"/>
        <w:jc w:val="left"/>
      </w:pPr>
      <w:r>
        <w:rPr>
          <w:rFonts w:hint="eastAsia" w:ascii="宋体" w:hAnsi="宋体" w:eastAsia="宋体"/>
          <w:color w:val="000000"/>
          <w:sz w:val="26"/>
        </w:rPr>
        <w:t>河北省发展和改革委员会办公室</w:t>
      </w:r>
    </w:p>
    <w:p>
      <w:pPr>
        <w:spacing w:line="1" w:lineRule="exact"/>
      </w:pPr>
      <w:r>
        <w:br w:type="column"/>
      </w:r>
    </w:p>
    <w:p>
      <w:pPr>
        <w:spacing w:line="340" w:lineRule="exact"/>
        <w:ind w:firstLine="0"/>
        <w:jc w:val="left"/>
        <w:sectPr>
          <w:footerReference r:id="rId26" w:type="default"/>
          <w:type w:val="continuous"/>
          <w:pgSz w:w="11860" w:h="16820"/>
          <w:pgMar w:top="1440" w:right="880" w:bottom="1440" w:left="1340" w:header="0" w:footer="1380" w:gutter="0"/>
          <w:cols w:equalWidth="0" w:num="2">
            <w:col w:w="5120" w:space="1200"/>
            <w:col w:w="3300"/>
          </w:cols>
        </w:sectPr>
      </w:pPr>
      <w:r>
        <w:rPr>
          <w:rFonts w:hint="eastAsia" w:ascii="宋体" w:hAnsi="宋体" w:eastAsia="宋体"/>
          <w:color w:val="000000"/>
          <w:sz w:val="28"/>
        </w:rPr>
        <w:t>2022年12月5日印发</w:t>
      </w:r>
    </w:p>
    <w:p>
      <w:pPr>
        <w:spacing w:line="1" w:lineRule="exact"/>
      </w:pPr>
    </w:p>
    <w:sectPr>
      <w:type w:val="continuous"/>
      <w:pgSz w:w="11860" w:h="16820"/>
      <w:pgMar w:top="1440" w:right="880" w:bottom="1440" w:left="1340" w:header="0" w:footer="138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center"/>
    </w:pPr>
    <w:r>
      <w:rPr>
        <w:rFonts w:hint="eastAsia" w:ascii="Arial" w:hAnsi="Arial" w:eastAsia="Arial"/>
        <w:color w:val="000000"/>
        <w:sz w:val="26"/>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center"/>
    </w:pPr>
    <w:r>
      <w:rPr>
        <w:rFonts w:hint="eastAsia" w:ascii="Arial" w:hAnsi="Arial" w:eastAsia="Arial"/>
        <w:color w:val="000000"/>
        <w:sz w:val="22"/>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pPr>
    <w:r>
      <w:rPr>
        <w:rFonts w:hint="eastAsia" w:ascii="Arial" w:hAnsi="Arial" w:eastAsia="Arial"/>
        <w:color w:val="000000"/>
        <w:sz w:val="24"/>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20" w:lineRule="exact"/>
      <w:jc w:val="center"/>
    </w:pPr>
    <w:r>
      <w:rPr>
        <w:rFonts w:hint="eastAsia" w:ascii="Arial" w:hAnsi="Arial" w:eastAsia="Arial"/>
        <w:color w:val="000000"/>
        <w:sz w:val="24"/>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center"/>
    </w:pPr>
    <w:r>
      <w:rPr>
        <w:rFonts w:hint="eastAsia" w:ascii="Arial" w:hAnsi="Arial" w:eastAsia="Arial"/>
        <w:color w:val="000000"/>
        <w:sz w:val="22"/>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pPr>
    <w:r>
      <w:rPr>
        <w:rFonts w:hint="eastAsia" w:ascii="Arial" w:hAnsi="Arial" w:eastAsia="Arial"/>
        <w:color w:val="000000"/>
        <w:sz w:val="24"/>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20" w:lineRule="exact"/>
      <w:jc w:val="center"/>
    </w:pPr>
    <w:r>
      <w:rPr>
        <w:rFonts w:hint="eastAsia" w:ascii="Arial" w:hAnsi="Arial" w:eastAsia="Arial"/>
        <w:color w:val="000000"/>
        <w:sz w:val="24"/>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center"/>
    </w:pPr>
    <w:r>
      <w:rPr>
        <w:rFonts w:hint="eastAsia" w:ascii="Arial" w:hAnsi="Arial" w:eastAsia="Arial"/>
        <w:color w:val="000000"/>
        <w:sz w:val="22"/>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20" w:lineRule="exact"/>
      <w:jc w:val="center"/>
    </w:pPr>
    <w:r>
      <w:rPr>
        <w:rFonts w:hint="eastAsia" w:ascii="Arial" w:hAnsi="Arial" w:eastAsia="Arial"/>
        <w:color w:val="000000"/>
        <w:sz w:val="26"/>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center"/>
    </w:pPr>
    <w:r>
      <w:rPr>
        <w:rFonts w:hint="eastAsia" w:ascii="Arial" w:hAnsi="Arial" w:eastAsia="Arial"/>
        <w:color w:val="000000"/>
        <w:sz w:val="22"/>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center"/>
    </w:pPr>
    <w:r>
      <w:rPr>
        <w:rFonts w:hint="eastAsia" w:ascii="Arial" w:hAnsi="Arial" w:eastAsia="Arial"/>
        <w:color w:val="000000"/>
        <w:sz w:val="24"/>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20" w:lineRule="exact"/>
      <w:jc w:val="center"/>
    </w:pPr>
    <w:r>
      <w:rPr>
        <w:rFonts w:hint="eastAsia" w:ascii="Arial" w:hAnsi="Arial" w:eastAsia="Arial"/>
        <w:color w:val="000000"/>
        <w:sz w:val="24"/>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center"/>
    </w:pPr>
    <w:r>
      <w:rPr>
        <w:rFonts w:hint="eastAsia" w:ascii="Arial" w:hAnsi="Arial" w:eastAsia="Arial"/>
        <w:color w:val="000000"/>
        <w:sz w:val="24"/>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center"/>
    </w:pPr>
    <w:r>
      <w:rPr>
        <w:rFonts w:hint="eastAsia" w:ascii="Arial" w:hAnsi="Arial" w:eastAsia="Arial"/>
        <w:color w:val="000000"/>
        <w:sz w:val="26"/>
      </w:rPr>
      <w:t>-21-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center"/>
    </w:pPr>
    <w:r>
      <w:rPr>
        <w:rFonts w:hint="eastAsia" w:ascii="宋体" w:hAnsi="宋体" w:eastAsia="宋体"/>
        <w:color w:val="000000"/>
        <w:sz w:val="24"/>
      </w:rPr>
      <w:t>一22-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rFonts w:hint="eastAsia" w:ascii="Arial" w:hAnsi="Arial" w:eastAsia="Arial"/>
        <w:color w:val="000000"/>
        <w:sz w:val="22"/>
      </w:rPr>
      <w:t>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0" w:lineRule="exact"/>
      <w:jc w:val="center"/>
    </w:pPr>
    <w:r>
      <w:rPr>
        <w:rFonts w:hint="eastAsia" w:ascii="Arial" w:hAnsi="Arial" w:eastAsia="Arial"/>
        <w:color w:val="000000"/>
        <w:sz w:val="24"/>
      </w:rPr>
      <w:t>-24-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pPr>
    <w:r>
      <w:rPr>
        <w:rFonts w:hint="eastAsia" w:ascii="Arial" w:hAnsi="Arial" w:eastAsia="Arial"/>
        <w:color w:val="000000"/>
        <w:sz w:val="24"/>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20" w:lineRule="exact"/>
      <w:jc w:val="center"/>
    </w:pPr>
    <w:r>
      <w:rPr>
        <w:rFonts w:hint="eastAsia" w:ascii="Arial" w:hAnsi="Arial" w:eastAsia="Arial"/>
        <w:color w:val="000000"/>
        <w:sz w:val="24"/>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20" w:lineRule="exact"/>
      <w:jc w:val="center"/>
    </w:pPr>
    <w:r>
      <w:rPr>
        <w:rFonts w:hint="eastAsia" w:ascii="Arial" w:hAnsi="Arial" w:eastAsia="Arial"/>
        <w:color w:val="000000"/>
        <w:sz w:val="26"/>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pPr>
    <w:r>
      <w:rPr>
        <w:rFonts w:hint="eastAsia" w:ascii="Arial" w:hAnsi="Arial" w:eastAsia="Arial"/>
        <w:color w:val="000000"/>
        <w:sz w:val="24"/>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pPr>
    <w:r>
      <w:rPr>
        <w:rFonts w:hint="eastAsia" w:ascii="Arial" w:hAnsi="Arial" w:eastAsia="Arial"/>
        <w:color w:val="000000"/>
        <w:sz w:val="24"/>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pPr>
    <w:r>
      <w:rPr>
        <w:rFonts w:hint="eastAsia" w:ascii="Arial" w:hAnsi="Arial" w:eastAsia="Arial"/>
        <w:color w:val="000000"/>
        <w:sz w:val="24"/>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pPr>
    <w:r>
      <w:rPr>
        <w:rFonts w:hint="eastAsia" w:ascii="Arial" w:hAnsi="Arial" w:eastAsia="Arial"/>
        <w:color w:val="000000"/>
        <w:sz w:val="24"/>
      </w:rPr>
      <w:t>-9-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yNzMxYTNjMTk4OGQyN2MwYTE2YzBhYWYxYWU4MDQifQ=="/>
  </w:docVars>
  <w:rsids>
    <w:rsidRoot w:val="00BD0BC8"/>
    <w:rsid w:val="000D6051"/>
    <w:rsid w:val="009F0BE0"/>
    <w:rsid w:val="00BA6D97"/>
    <w:rsid w:val="00BD0BC8"/>
    <w:rsid w:val="0C7D3226"/>
    <w:rsid w:val="5FAF6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image" Target="media/image4.png"/><Relationship Id="rId30" Type="http://schemas.openxmlformats.org/officeDocument/2006/relationships/image" Target="media/image3.png"/><Relationship Id="rId3" Type="http://schemas.openxmlformats.org/officeDocument/2006/relationships/footer" Target="footer1.xml"/><Relationship Id="rId29" Type="http://schemas.openxmlformats.org/officeDocument/2006/relationships/image" Target="media/image2.png"/><Relationship Id="rId28" Type="http://schemas.openxmlformats.org/officeDocument/2006/relationships/image" Target="media/image1.png"/><Relationship Id="rId27" Type="http://schemas.openxmlformats.org/officeDocument/2006/relationships/theme" Target="theme/theme1.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24</Pages>
  <Words>9819</Words>
  <Characters>9848</Characters>
  <TotalTime>9</TotalTime>
  <ScaleCrop>false</ScaleCrop>
  <LinksUpToDate>false</LinksUpToDate>
  <CharactersWithSpaces>9910</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2023-03-31T07:19:13Z</dcterms:created>
  <dc:creator>INTSIG</dc:creator>
  <dc:description>Intsig Word Converter</dc:description>
  <cp:lastModifiedBy>在路上</cp:lastModifiedBy>
  <dcterms:modified xsi:type="dcterms:W3CDTF">2023-03-31T08:15:15Z</dcterms:modified>
  <dc:title>wordbuilder</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DE593B3C9D574D51B4FAE0EFE317A84E</vt:lpwstr>
  </property>
</Properties>
</file>